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6C" w:rsidRPr="0093106C" w:rsidRDefault="0093106C" w:rsidP="0093106C">
      <w:pPr>
        <w:widowControl/>
        <w:shd w:val="clear" w:color="auto" w:fill="FFFFFF"/>
        <w:jc w:val="center"/>
        <w:rPr>
          <w:rFonts w:ascii="宋体" w:eastAsia="宋体" w:hAnsi="宋体" w:cs="宋体" w:hint="eastAsia"/>
          <w:color w:val="333333"/>
          <w:kern w:val="0"/>
          <w:sz w:val="18"/>
          <w:szCs w:val="18"/>
        </w:rPr>
      </w:pPr>
      <w:bookmarkStart w:id="0" w:name="_GoBack"/>
      <w:r w:rsidRPr="0093106C">
        <w:rPr>
          <w:rFonts w:ascii="宋体" w:eastAsia="宋体" w:hAnsi="宋体" w:cs="宋体" w:hint="eastAsia"/>
          <w:b/>
          <w:bCs/>
          <w:color w:val="333333"/>
          <w:kern w:val="0"/>
          <w:sz w:val="24"/>
          <w:szCs w:val="24"/>
          <w:bdr w:val="none" w:sz="0" w:space="0" w:color="auto" w:frame="1"/>
        </w:rPr>
        <w:t>生产性服务业分类</w:t>
      </w:r>
      <w:r w:rsidRPr="0093106C">
        <w:rPr>
          <w:rFonts w:ascii="宋体" w:eastAsia="宋体" w:hAnsi="宋体" w:cs="宋体" w:hint="eastAsia"/>
          <w:color w:val="333333"/>
          <w:kern w:val="0"/>
          <w:sz w:val="24"/>
          <w:szCs w:val="24"/>
        </w:rPr>
        <w:t>（2015）</w:t>
      </w:r>
      <w:bookmarkEnd w:id="0"/>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xml:space="preserve">　　一、分类目的</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根据《国务院关于加快发展生产性服务业促进产业结构调整升级的指导意见》（国发〔2014〕26号，简称《指导意见》）和《国务院关于印发服务业发展“十二五”规划的通知》（国发〔2012〕62号，简称《规划》）的要求，为界定生产性服务业范围，建立各地区、各部门生产性服务业统计调查监测体系，特制定本分类。</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xml:space="preserve">　　二、分类范围</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本分类的范围包括，为生产活动提供的研发设计与其他技术服务、货物运输仓储和邮政快递服务、信息服务、金融服务、节能与环保服务、生产性租赁服务、商务服务、人力资源管理与培训服务、批发经纪代理服务、生产性支持服务。</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xml:space="preserve">　　三、编制原则</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（一）以国务院《指导意见》为指导。本分</w:t>
      </w:r>
      <w:proofErr w:type="gramStart"/>
      <w:r w:rsidRPr="0093106C">
        <w:rPr>
          <w:rFonts w:ascii="宋体" w:eastAsia="宋体" w:hAnsi="宋体" w:cs="宋体" w:hint="eastAsia"/>
          <w:color w:val="333333"/>
          <w:kern w:val="0"/>
          <w:sz w:val="24"/>
          <w:szCs w:val="24"/>
        </w:rPr>
        <w:t>类按照</w:t>
      </w:r>
      <w:proofErr w:type="gramEnd"/>
      <w:r w:rsidRPr="0093106C">
        <w:rPr>
          <w:rFonts w:ascii="宋体" w:eastAsia="宋体" w:hAnsi="宋体" w:cs="宋体" w:hint="eastAsia"/>
          <w:color w:val="333333"/>
          <w:kern w:val="0"/>
          <w:sz w:val="24"/>
          <w:szCs w:val="24"/>
        </w:rPr>
        <w:t>《指导意见》和《规划》的有关要求，确定生产性服务业的范围。</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（二）以《国民经济行业分类》（GB/T 4754-2011）为基础。本分类以《国民经济行业分类》为基础，是对国民经济行业分类中符合生产性服务业特征有关活动的再分类。</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（三）以数据可获得性为划分主要依据。本分类的类别选取充分考虑统计数据的可获取，以保证统计部门能够采集到生产性服务业的数据。</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xml:space="preserve">　　四、结构和编码</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本分类采用线分类法和分层次编码方法，将生产性服务业划分为三层，分别用阿拉伯数字编码表示。第一层为大类，用2位数字表示，共有10个大类；第二层为中类，用3位数字表示，共有34个中类；第三层为小类，用4位数字表示，共有135个小类。</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本分类代码结构:</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center"/>
        <w:rPr>
          <w:rFonts w:ascii="宋体" w:eastAsia="宋体" w:hAnsi="宋体" w:cs="宋体" w:hint="eastAsia"/>
          <w:color w:val="333333"/>
          <w:kern w:val="0"/>
          <w:sz w:val="18"/>
          <w:szCs w:val="18"/>
        </w:rPr>
      </w:pPr>
      <w:r>
        <w:rPr>
          <w:rFonts w:ascii="宋体" w:eastAsia="宋体" w:hAnsi="宋体" w:cs="宋体"/>
          <w:noProof/>
          <w:color w:val="333333"/>
          <w:kern w:val="0"/>
          <w:sz w:val="24"/>
          <w:szCs w:val="24"/>
        </w:rPr>
        <w:lastRenderedPageBreak/>
        <w:drawing>
          <wp:inline distT="0" distB="0" distL="0" distR="0">
            <wp:extent cx="4921885" cy="2218690"/>
            <wp:effectExtent l="0" t="0" r="0" b="0"/>
            <wp:docPr id="1" name="图片 1" descr="http://www.stats.gov.cn/tjsj/tjbz/201506/W020150604505279439045_r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s.gov.cn/tjsj/tjbz/201506/W020150604505279439045_r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1885" cy="2218690"/>
                    </a:xfrm>
                    <a:prstGeom prst="rect">
                      <a:avLst/>
                    </a:prstGeom>
                    <a:noFill/>
                    <a:ln>
                      <a:noFill/>
                    </a:ln>
                  </pic:spPr>
                </pic:pic>
              </a:graphicData>
            </a:graphic>
          </wp:inline>
        </w:drawing>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xml:space="preserve">　　五、有关说明</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（一）本分</w:t>
      </w:r>
      <w:proofErr w:type="gramStart"/>
      <w:r w:rsidRPr="0093106C">
        <w:rPr>
          <w:rFonts w:ascii="宋体" w:eastAsia="宋体" w:hAnsi="宋体" w:cs="宋体" w:hint="eastAsia"/>
          <w:color w:val="333333"/>
          <w:kern w:val="0"/>
          <w:sz w:val="24"/>
          <w:szCs w:val="24"/>
        </w:rPr>
        <w:t>类建立</w:t>
      </w:r>
      <w:proofErr w:type="gramEnd"/>
      <w:r w:rsidRPr="0093106C">
        <w:rPr>
          <w:rFonts w:ascii="宋体" w:eastAsia="宋体" w:hAnsi="宋体" w:cs="宋体" w:hint="eastAsia"/>
          <w:color w:val="333333"/>
          <w:kern w:val="0"/>
          <w:sz w:val="24"/>
          <w:szCs w:val="24"/>
        </w:rPr>
        <w:t>了与《国民经济行业分类》的对应关系。在国民经济行业分类中，行业类别仅部分活动属于生产性服务业的，行业代码用“*”做标记；当一个行业类别属于两个以上生产性服务业，行业代码用“**”做标记。</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（二）本分类在说明栏中，对《指导意见》强调的重点工作，以及带“*”和“**”行业类别的内容作了解释。</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xml:space="preserve">　　（三）本分类对应《国民经济行业分类》的具体范围和说明，参见《2011国民经济行业分类注释》。</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xml:space="preserve">　　六、生产性服务业分类表</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 </w:t>
      </w:r>
    </w:p>
    <w:p w:rsidR="0093106C" w:rsidRPr="0093106C" w:rsidRDefault="0093106C" w:rsidP="0093106C">
      <w:pPr>
        <w:widowControl/>
        <w:shd w:val="clear" w:color="auto" w:fill="FFFFFF"/>
        <w:jc w:val="center"/>
        <w:rPr>
          <w:rFonts w:ascii="宋体" w:eastAsia="宋体" w:hAnsi="宋体" w:cs="宋体" w:hint="eastAsia"/>
          <w:color w:val="333333"/>
          <w:kern w:val="0"/>
          <w:sz w:val="18"/>
          <w:szCs w:val="18"/>
        </w:rPr>
      </w:pPr>
      <w:r w:rsidRPr="0093106C">
        <w:rPr>
          <w:rFonts w:ascii="宋体" w:eastAsia="宋体" w:hAnsi="宋体" w:cs="宋体" w:hint="eastAsia"/>
          <w:b/>
          <w:bCs/>
          <w:color w:val="333333"/>
          <w:kern w:val="0"/>
          <w:sz w:val="24"/>
          <w:szCs w:val="24"/>
          <w:bdr w:val="none" w:sz="0" w:space="0" w:color="auto" w:frame="1"/>
        </w:rPr>
        <w:t>生产性服务业分类表</w:t>
      </w:r>
    </w:p>
    <w:p w:rsidR="0093106C" w:rsidRPr="0093106C" w:rsidRDefault="0093106C" w:rsidP="0093106C">
      <w:pPr>
        <w:widowControl/>
        <w:shd w:val="clear" w:color="auto" w:fill="FFFFFF"/>
        <w:jc w:val="left"/>
        <w:rPr>
          <w:rFonts w:ascii="宋体" w:eastAsia="宋体" w:hAnsi="宋体" w:cs="宋体" w:hint="eastAsia"/>
          <w:color w:val="333333"/>
          <w:kern w:val="0"/>
          <w:sz w:val="18"/>
          <w:szCs w:val="18"/>
        </w:rPr>
      </w:pPr>
      <w:r w:rsidRPr="0093106C">
        <w:rPr>
          <w:rFonts w:ascii="宋体" w:eastAsia="宋体" w:hAnsi="宋体" w:cs="宋体" w:hint="eastAsia"/>
          <w:color w:val="333333"/>
          <w:kern w:val="0"/>
          <w:sz w:val="24"/>
          <w:szCs w:val="24"/>
        </w:rPr>
        <w:t> </w:t>
      </w:r>
    </w:p>
    <w:tbl>
      <w:tblPr>
        <w:tblW w:w="0" w:type="auto"/>
        <w:jc w:val="center"/>
        <w:tblCellMar>
          <w:left w:w="0" w:type="dxa"/>
          <w:right w:w="0" w:type="dxa"/>
        </w:tblCellMar>
        <w:tblLook w:val="04A0" w:firstRow="1" w:lastRow="0" w:firstColumn="1" w:lastColumn="0" w:noHBand="0" w:noVBand="1"/>
      </w:tblPr>
      <w:tblGrid>
        <w:gridCol w:w="625"/>
        <w:gridCol w:w="705"/>
        <w:gridCol w:w="683"/>
        <w:gridCol w:w="2928"/>
        <w:gridCol w:w="2192"/>
        <w:gridCol w:w="1201"/>
      </w:tblGrid>
      <w:tr w:rsidR="0093106C" w:rsidRPr="0093106C" w:rsidTr="0093106C">
        <w:trPr>
          <w:trHeight w:val="300"/>
          <w:jc w:val="center"/>
        </w:trPr>
        <w:tc>
          <w:tcPr>
            <w:tcW w:w="2207"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代　</w:t>
            </w:r>
            <w:r w:rsidRPr="0093106C">
              <w:rPr>
                <w:rFonts w:ascii="宋体" w:eastAsia="宋体" w:hAnsi="宋体" w:cs="宋体"/>
                <w:kern w:val="0"/>
                <w:sz w:val="24"/>
                <w:szCs w:val="24"/>
              </w:rPr>
              <w:t> </w:t>
            </w:r>
            <w:r w:rsidRPr="0093106C">
              <w:rPr>
                <w:rFonts w:ascii="宋体" w:eastAsia="宋体" w:hAnsi="宋体" w:cs="宋体" w:hint="eastAsia"/>
                <w:kern w:val="0"/>
                <w:sz w:val="24"/>
                <w:szCs w:val="24"/>
              </w:rPr>
              <w:t>码</w:t>
            </w:r>
          </w:p>
        </w:tc>
        <w:tc>
          <w:tcPr>
            <w:tcW w:w="3423" w:type="dxa"/>
            <w:vMerge w:val="restart"/>
            <w:tcBorders>
              <w:top w:val="single" w:sz="8" w:space="0" w:color="auto"/>
              <w:left w:val="nil"/>
              <w:bottom w:val="single" w:sz="8" w:space="0" w:color="auto"/>
              <w:right w:val="single" w:sz="8" w:space="0" w:color="auto"/>
            </w:tcBorders>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名　</w:t>
            </w:r>
            <w:r w:rsidRPr="0093106C">
              <w:rPr>
                <w:rFonts w:ascii="宋体" w:eastAsia="宋体" w:hAnsi="宋体" w:cs="宋体"/>
                <w:kern w:val="0"/>
                <w:sz w:val="24"/>
                <w:szCs w:val="24"/>
              </w:rPr>
              <w:t> </w:t>
            </w:r>
            <w:r w:rsidRPr="0093106C">
              <w:rPr>
                <w:rFonts w:ascii="宋体" w:eastAsia="宋体" w:hAnsi="宋体" w:cs="宋体" w:hint="eastAsia"/>
                <w:kern w:val="0"/>
                <w:sz w:val="24"/>
                <w:szCs w:val="24"/>
              </w:rPr>
              <w:t>称</w:t>
            </w:r>
          </w:p>
        </w:tc>
        <w:tc>
          <w:tcPr>
            <w:tcW w:w="2500" w:type="dxa"/>
            <w:vMerge w:val="restart"/>
            <w:tcBorders>
              <w:top w:val="single" w:sz="8" w:space="0" w:color="auto"/>
              <w:left w:val="nil"/>
              <w:bottom w:val="single" w:sz="8" w:space="0" w:color="auto"/>
              <w:right w:val="single" w:sz="8" w:space="0" w:color="auto"/>
            </w:tcBorders>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说　</w:t>
            </w:r>
            <w:r w:rsidRPr="0093106C">
              <w:rPr>
                <w:rFonts w:ascii="宋体" w:eastAsia="宋体" w:hAnsi="宋体" w:cs="宋体"/>
                <w:kern w:val="0"/>
                <w:sz w:val="24"/>
                <w:szCs w:val="24"/>
              </w:rPr>
              <w:t> </w:t>
            </w:r>
            <w:r w:rsidRPr="0093106C">
              <w:rPr>
                <w:rFonts w:ascii="宋体" w:eastAsia="宋体" w:hAnsi="宋体" w:cs="宋体" w:hint="eastAsia"/>
                <w:kern w:val="0"/>
                <w:sz w:val="24"/>
                <w:szCs w:val="24"/>
              </w:rPr>
              <w:t>明</w:t>
            </w:r>
          </w:p>
        </w:tc>
        <w:tc>
          <w:tcPr>
            <w:tcW w:w="1309" w:type="dxa"/>
            <w:vMerge w:val="restart"/>
            <w:tcBorders>
              <w:top w:val="single" w:sz="8" w:space="0" w:color="auto"/>
              <w:left w:val="nil"/>
              <w:bottom w:val="single" w:sz="8" w:space="0" w:color="auto"/>
              <w:right w:val="nil"/>
            </w:tcBorders>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行业分</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类代码</w:t>
            </w:r>
          </w:p>
        </w:tc>
      </w:tr>
      <w:tr w:rsidR="0093106C" w:rsidRPr="0093106C" w:rsidTr="0093106C">
        <w:trPr>
          <w:trHeight w:val="643"/>
          <w:jc w:val="center"/>
        </w:trPr>
        <w:tc>
          <w:tcPr>
            <w:tcW w:w="709" w:type="dxa"/>
            <w:tcBorders>
              <w:top w:val="nil"/>
              <w:left w:val="nil"/>
              <w:bottom w:val="single" w:sz="8" w:space="0" w:color="auto"/>
              <w:right w:val="single" w:sz="8" w:space="0" w:color="auto"/>
            </w:tcBorders>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大类</w:t>
            </w:r>
          </w:p>
        </w:tc>
        <w:tc>
          <w:tcPr>
            <w:tcW w:w="778" w:type="dxa"/>
            <w:tcBorders>
              <w:top w:val="nil"/>
              <w:left w:val="nil"/>
              <w:bottom w:val="single" w:sz="8" w:space="0" w:color="auto"/>
              <w:right w:val="single" w:sz="8" w:space="0" w:color="auto"/>
            </w:tcBorders>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中类</w:t>
            </w:r>
          </w:p>
        </w:tc>
        <w:tc>
          <w:tcPr>
            <w:tcW w:w="720" w:type="dxa"/>
            <w:tcBorders>
              <w:top w:val="nil"/>
              <w:left w:val="nil"/>
              <w:bottom w:val="single" w:sz="8" w:space="0" w:color="auto"/>
              <w:right w:val="single" w:sz="8" w:space="0" w:color="auto"/>
            </w:tcBorders>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小类</w:t>
            </w:r>
          </w:p>
        </w:tc>
        <w:tc>
          <w:tcPr>
            <w:tcW w:w="0" w:type="auto"/>
            <w:vMerge/>
            <w:tcBorders>
              <w:top w:val="single" w:sz="8" w:space="0" w:color="auto"/>
              <w:left w:val="nil"/>
              <w:bottom w:val="single" w:sz="8" w:space="0" w:color="auto"/>
              <w:right w:val="single" w:sz="8" w:space="0" w:color="auto"/>
            </w:tcBorders>
            <w:vAlign w:val="center"/>
            <w:hideMark/>
          </w:tcPr>
          <w:p w:rsidR="0093106C" w:rsidRPr="0093106C" w:rsidRDefault="0093106C" w:rsidP="0093106C">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3106C" w:rsidRPr="0093106C" w:rsidRDefault="0093106C" w:rsidP="0093106C">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nil"/>
            </w:tcBorders>
            <w:vAlign w:val="center"/>
            <w:hideMark/>
          </w:tcPr>
          <w:p w:rsidR="0093106C" w:rsidRPr="0093106C" w:rsidRDefault="0093106C" w:rsidP="0093106C">
            <w:pPr>
              <w:widowControl/>
              <w:jc w:val="left"/>
              <w:rPr>
                <w:rFonts w:ascii="宋体" w:eastAsia="宋体" w:hAnsi="宋体" w:cs="宋体"/>
                <w:kern w:val="0"/>
                <w:sz w:val="24"/>
                <w:szCs w:val="24"/>
              </w:rPr>
            </w:pP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11</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研发设计与其他技术服务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111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研发与设计服务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1111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生产性自然科学研究和试验发展</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仅包括直接应用于生产活动的信息科学与系统科学、化学、生物学等科学研究服务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7310 *</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r w:rsidRPr="0093106C">
              <w:rPr>
                <w:rFonts w:ascii="宋体" w:eastAsia="宋体" w:hAnsi="宋体" w:cs="宋体" w:hint="eastAsia"/>
                <w:spacing w:val="-8"/>
                <w:kern w:val="0"/>
                <w:sz w:val="24"/>
                <w:szCs w:val="24"/>
              </w:rPr>
              <w:t>工程和技术研究和试验发展</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新材料研发、新产品研发、新工艺研发等包含在此类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7320</w:t>
            </w:r>
          </w:p>
        </w:tc>
      </w:tr>
      <w:tr w:rsidR="0093106C" w:rsidRPr="0093106C" w:rsidTr="0093106C">
        <w:trPr>
          <w:trHeight w:val="257"/>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1113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农业科学研究和试验发展</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7330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1114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r w:rsidRPr="0093106C">
              <w:rPr>
                <w:rFonts w:ascii="宋体" w:eastAsia="宋体" w:hAnsi="宋体" w:cs="宋体" w:hint="eastAsia"/>
                <w:spacing w:val="-8"/>
                <w:kern w:val="0"/>
                <w:sz w:val="24"/>
                <w:szCs w:val="24"/>
              </w:rPr>
              <w:t xml:space="preserve">　生产性医学研究和试验发展</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仅包括直接用于生产活动的药学、中药学等研究与试验发展</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7340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1115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专业化设计服务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7491</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112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科技成果转化服务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新技术、新产品和新工艺推向市场进行的技术推广、转让活动，产学研用合作，创新成果产业化服务等包含在此中类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1121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农业技术推广服务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7511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生物技术推广服务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7512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新材料技术推广服务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7513</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1124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其他技术推广服务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不包括环保技术的推广服务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7519 **</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1125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r w:rsidRPr="0093106C">
              <w:rPr>
                <w:rFonts w:ascii="宋体" w:eastAsia="宋体" w:hAnsi="宋体" w:cs="宋体" w:hint="eastAsia"/>
                <w:spacing w:val="-8"/>
                <w:kern w:val="0"/>
                <w:sz w:val="24"/>
                <w:szCs w:val="24"/>
              </w:rPr>
              <w:t xml:space="preserve">　其他科技推广和应用服务业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7590</w:t>
            </w:r>
          </w:p>
        </w:tc>
      </w:tr>
      <w:tr w:rsidR="0093106C" w:rsidRPr="0093106C" w:rsidTr="0093106C">
        <w:trPr>
          <w:trHeight w:val="570"/>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1126</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科技中介服务</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创业、创新扶持服务、技术孵化、科技评估和</w:t>
            </w:r>
            <w:proofErr w:type="gramStart"/>
            <w:r w:rsidRPr="0093106C">
              <w:rPr>
                <w:rFonts w:ascii="宋体" w:eastAsia="宋体" w:hAnsi="宋体" w:cs="宋体" w:hint="eastAsia"/>
                <w:kern w:val="0"/>
                <w:sz w:val="24"/>
                <w:szCs w:val="24"/>
              </w:rPr>
              <w:t>鉴证</w:t>
            </w:r>
            <w:proofErr w:type="gramEnd"/>
            <w:r w:rsidRPr="0093106C">
              <w:rPr>
                <w:rFonts w:ascii="宋体" w:eastAsia="宋体" w:hAnsi="宋体" w:cs="宋体" w:hint="eastAsia"/>
                <w:kern w:val="0"/>
                <w:sz w:val="24"/>
                <w:szCs w:val="24"/>
              </w:rPr>
              <w:t>、科技信息交流、技术咨询等包含在此类</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7520</w:t>
            </w:r>
          </w:p>
        </w:tc>
      </w:tr>
      <w:tr w:rsidR="0093106C" w:rsidRPr="0093106C" w:rsidTr="0093106C">
        <w:trPr>
          <w:trHeight w:val="413"/>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jc w:val="left"/>
              <w:rPr>
                <w:rFonts w:ascii="Times New Roman" w:eastAsia="宋体" w:hAnsi="Times New Roman" w:cs="Times New Roman"/>
                <w:kern w:val="0"/>
                <w:szCs w:val="21"/>
              </w:rPr>
            </w:pPr>
            <w:r w:rsidRPr="0093106C">
              <w:rPr>
                <w:rFonts w:ascii="Times New Roman" w:eastAsia="宋体" w:hAnsi="Times New Roman" w:cs="Times New Roman"/>
                <w:kern w:val="0"/>
                <w:szCs w:val="21"/>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113</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知识产权及相关法律服务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142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1131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知识产权服务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专利、商标、软件、集成电路布图设计等的代理、转让、鉴定、评估、认证，以及研发设计交易、知识产权交易、专利运营、专利分析评议和预警、无形资产评估等服务包含在此类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7250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114</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1132</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1140</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生产性法律服务</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r w:rsidRPr="0093106C">
              <w:rPr>
                <w:rFonts w:ascii="宋体" w:eastAsia="宋体" w:hAnsi="宋体" w:cs="宋体" w:hint="eastAsia"/>
                <w:b/>
                <w:bCs/>
                <w:kern w:val="0"/>
                <w:sz w:val="24"/>
                <w:szCs w:val="24"/>
                <w:bdr w:val="none" w:sz="0" w:space="0" w:color="auto" w:frame="1"/>
              </w:rPr>
              <w:t>检验检测认证标准计量服务</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质检技术服务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仅包括为生产活动提供的法律服务，知识产权调解、仲裁服务</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第三方检验、检测、测试、分析、认证、计量和标准活动包括在此类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722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7450</w:t>
            </w:r>
          </w:p>
        </w:tc>
      </w:tr>
      <w:tr w:rsidR="0093106C" w:rsidRPr="0093106C" w:rsidTr="0093106C">
        <w:trPr>
          <w:trHeight w:val="251"/>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115</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生产性专业技术服务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1151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生产性气象服务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仅包括用于生产活动的气象服务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7410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1152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生产性地震服务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仅包括用于生产活动的地震服务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7420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1153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生产性海洋服务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仅包括用于生产活动的海洋服务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7430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1154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生产性测绘服务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仅包括用于生产活动的测绘服务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7440 *</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1155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矿产勘查服务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指采矿前的矿产勘查服务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7471</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7472</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7473</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1156</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工程管理服务</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工程项目策划、造价、工程咨询、招标代理、工程技术监理等包含在此类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7481</w:t>
            </w:r>
          </w:p>
        </w:tc>
      </w:tr>
      <w:tr w:rsidR="0093106C" w:rsidRPr="0093106C" w:rsidTr="0093106C">
        <w:trPr>
          <w:trHeight w:val="333"/>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1157</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其他生产性专业技术服务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7482</w:t>
            </w:r>
          </w:p>
        </w:tc>
      </w:tr>
      <w:tr w:rsidR="0093106C" w:rsidRPr="0093106C" w:rsidTr="0093106C">
        <w:trPr>
          <w:trHeight w:val="333"/>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7493</w:t>
            </w:r>
          </w:p>
        </w:tc>
      </w:tr>
      <w:tr w:rsidR="0093106C" w:rsidRPr="0093106C" w:rsidTr="0093106C">
        <w:trPr>
          <w:trHeight w:val="285"/>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7499</w:t>
            </w:r>
          </w:p>
        </w:tc>
      </w:tr>
      <w:tr w:rsidR="0093106C" w:rsidRPr="0093106C" w:rsidTr="0093106C">
        <w:trPr>
          <w:trHeight w:val="171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12</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spacing w:val="-4"/>
                <w:kern w:val="0"/>
                <w:sz w:val="24"/>
                <w:szCs w:val="24"/>
                <w:bdr w:val="none" w:sz="0" w:space="0" w:color="auto" w:frame="1"/>
              </w:rPr>
              <w:t>货物运输、仓储和邮政快递服务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本类别加上</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数据处理与存储服务</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中的</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物流信息平台服务</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，再加</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商务咨询服务</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中的</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物流咨询、物流方案策划</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即为</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第三方物流</w:t>
            </w:r>
            <w:r w:rsidRPr="0093106C">
              <w:rPr>
                <w:rFonts w:ascii="宋体" w:eastAsia="宋体" w:hAnsi="宋体" w:cs="宋体"/>
                <w:kern w:val="0"/>
                <w:sz w:val="24"/>
                <w:szCs w:val="24"/>
              </w:rPr>
              <w:t>”</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85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121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货物运输服务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各类货物运输、铁水联运、江海直达、滚装运输、道路货物甩挂运输等包含在此中类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1211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铁路货物运输</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5320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道路货物运输</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5430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1213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水上货物运输</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552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1214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航空货物运输</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5612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1215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管道运输业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5700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122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货物运输辅助服务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1221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铁路运输辅助活动</w:t>
            </w:r>
          </w:p>
        </w:tc>
        <w:tc>
          <w:tcPr>
            <w:tcW w:w="2500"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533</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道路运输辅助活动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544</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水上运输辅助活动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553</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1224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航空运输辅助活动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563</w:t>
            </w:r>
          </w:p>
        </w:tc>
      </w:tr>
      <w:tr w:rsidR="0093106C" w:rsidRPr="0093106C" w:rsidTr="0093106C">
        <w:trPr>
          <w:trHeight w:val="85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123</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仓储服务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货物仓储、运输中转等服务，以及公共仓储、自助仓储、仓储租赁等包含在此中类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301"/>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1231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谷物、棉花等农产品仓储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591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1232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其他仓储业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5990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124</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搬运、包装和代理服务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1241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生产性装卸搬运</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仅包括为生产活动提供的装卸搬运</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5810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1242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生产性包装服务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仅包括为生产活动提供的包装服务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7293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1243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货物运输代理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5821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5829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125</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国家邮政和快递服务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1251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生产性邮政服务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仅包括为生产活动提供的邮政服务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6010 *</w:t>
            </w:r>
          </w:p>
        </w:tc>
      </w:tr>
      <w:tr w:rsidR="0093106C" w:rsidRPr="0093106C" w:rsidTr="0093106C">
        <w:trPr>
          <w:trHeight w:val="285"/>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1252</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生产性快递服务</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仅包括为生产活动提供的快递服务</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6020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13</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信息服务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131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信息传输服务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1311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生产性固定电信服务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仅包括为生产活动提供的固定电信服务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6311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生产性移动电信服务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仅包括为生产活动提供的移动电信服务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6312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1313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其他生产活动电信服务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仅包括为生产活动提供的电信增值服务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6319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132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信息技术服务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制造业智能化、柔性化服务；知识库建设、信息技术集成实施、运行维护、测试评估、信息安全等服务；工业流程再造和优化服务，软件服务、生产经营数字化服务等包含在此中类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301"/>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生产性互联网服务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仅包括为生产活动提供的互联网接入及相关服务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6410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互联网信息服务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6420</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其他互联网服务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proofErr w:type="gramStart"/>
            <w:r w:rsidRPr="0093106C">
              <w:rPr>
                <w:rFonts w:ascii="宋体" w:eastAsia="宋体" w:hAnsi="宋体" w:cs="宋体" w:hint="eastAsia"/>
                <w:kern w:val="0"/>
                <w:sz w:val="24"/>
                <w:szCs w:val="24"/>
              </w:rPr>
              <w:t>云计算</w:t>
            </w:r>
            <w:proofErr w:type="gramEnd"/>
            <w:r w:rsidRPr="0093106C">
              <w:rPr>
                <w:rFonts w:ascii="宋体" w:eastAsia="宋体" w:hAnsi="宋体" w:cs="宋体" w:hint="eastAsia"/>
                <w:kern w:val="0"/>
                <w:sz w:val="24"/>
                <w:szCs w:val="24"/>
              </w:rPr>
              <w:t>服务、物联网服务、农村互联网服务包含在此类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6490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软件开发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6510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信息技术咨询服务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信息安全服务包含在此类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6530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1326</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信息系统集成服务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系统解决方案服务包含在此类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6520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1327</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集成电路设计</w:t>
            </w:r>
          </w:p>
        </w:tc>
        <w:tc>
          <w:tcPr>
            <w:tcW w:w="2500"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6550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1328</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其他信息技术服务业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659</w:t>
            </w:r>
          </w:p>
        </w:tc>
      </w:tr>
      <w:tr w:rsidR="0093106C" w:rsidRPr="0093106C" w:rsidTr="0093106C">
        <w:trPr>
          <w:trHeight w:val="356"/>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133</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电子商务支持服务</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第三方电子商务综合服务平台，电子商务集成创新，开放式电子商务快递配送信息平台和社会化仓储设施网络服务，电子商务可信交易保障等服务包含在此中类</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142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1331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数据处理和存储服务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电子商务平台服务、物流信息平台服务、再生资源回收和废弃物逆向物流交易平台服务、大宗商品交易平台服务、互联网信贷平台服务（</w:t>
            </w:r>
            <w:r w:rsidRPr="0093106C">
              <w:rPr>
                <w:rFonts w:ascii="宋体" w:eastAsia="宋体" w:hAnsi="宋体" w:cs="宋体"/>
                <w:kern w:val="0"/>
                <w:sz w:val="24"/>
                <w:szCs w:val="24"/>
              </w:rPr>
              <w:t>P2P</w:t>
            </w:r>
            <w:r w:rsidRPr="0093106C">
              <w:rPr>
                <w:rFonts w:ascii="宋体" w:eastAsia="宋体" w:hAnsi="宋体" w:cs="宋体" w:hint="eastAsia"/>
                <w:kern w:val="0"/>
                <w:sz w:val="24"/>
                <w:szCs w:val="24"/>
              </w:rPr>
              <w:t>）和大数据服务等包含在此类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6540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1332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互联网销售</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仅包括为生产活动提供的互联网零售，以及企业间的网络营销活动（</w:t>
            </w:r>
            <w:r w:rsidRPr="0093106C">
              <w:rPr>
                <w:rFonts w:ascii="宋体" w:eastAsia="宋体" w:hAnsi="宋体" w:cs="宋体"/>
                <w:kern w:val="0"/>
                <w:sz w:val="24"/>
                <w:szCs w:val="24"/>
              </w:rPr>
              <w:t>B2B</w:t>
            </w:r>
            <w:r w:rsidRPr="0093106C">
              <w:rPr>
                <w:rFonts w:ascii="宋体" w:eastAsia="宋体" w:hAnsi="宋体" w:cs="宋体" w:hint="eastAsia"/>
                <w:kern w:val="0"/>
                <w:sz w:val="24"/>
                <w:szCs w:val="24"/>
              </w:rPr>
              <w:t>）</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5294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1333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非金融机构支付服务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互联网支付服务包含在此类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6930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14</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金融服务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141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货币金融服务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1411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商业银行服务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仅包括为生产活动提供的商业银行、信用合作社服务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6620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财务公司</w:t>
            </w:r>
          </w:p>
        </w:tc>
        <w:tc>
          <w:tcPr>
            <w:tcW w:w="2500"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6632</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1413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其他非货币银行服务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为节能减</w:t>
            </w:r>
            <w:proofErr w:type="gramStart"/>
            <w:r w:rsidRPr="0093106C">
              <w:rPr>
                <w:rFonts w:ascii="宋体" w:eastAsia="宋体" w:hAnsi="宋体" w:cs="宋体" w:hint="eastAsia"/>
                <w:kern w:val="0"/>
                <w:sz w:val="24"/>
                <w:szCs w:val="24"/>
              </w:rPr>
              <w:t>排提供</w:t>
            </w:r>
            <w:proofErr w:type="gramEnd"/>
            <w:r w:rsidRPr="0093106C">
              <w:rPr>
                <w:rFonts w:ascii="宋体" w:eastAsia="宋体" w:hAnsi="宋体" w:cs="宋体" w:hint="eastAsia"/>
                <w:kern w:val="0"/>
                <w:sz w:val="24"/>
                <w:szCs w:val="24"/>
              </w:rPr>
              <w:t>的非银行贷款服务包含在此类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6639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1414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银行监管服务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6640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142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资本市场服务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1421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基金管理服务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6713</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期货市场服务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672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资本投资服务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为节能减</w:t>
            </w:r>
            <w:proofErr w:type="gramStart"/>
            <w:r w:rsidRPr="0093106C">
              <w:rPr>
                <w:rFonts w:ascii="宋体" w:eastAsia="宋体" w:hAnsi="宋体" w:cs="宋体" w:hint="eastAsia"/>
                <w:kern w:val="0"/>
                <w:sz w:val="24"/>
                <w:szCs w:val="24"/>
              </w:rPr>
              <w:t>排提供</w:t>
            </w:r>
            <w:proofErr w:type="gramEnd"/>
            <w:r w:rsidRPr="0093106C">
              <w:rPr>
                <w:rFonts w:ascii="宋体" w:eastAsia="宋体" w:hAnsi="宋体" w:cs="宋体" w:hint="eastAsia"/>
                <w:kern w:val="0"/>
                <w:sz w:val="24"/>
                <w:szCs w:val="24"/>
              </w:rPr>
              <w:t>的投融资服务包含在此类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6740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1424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其他证券和资本服务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6711</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6712</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6790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143</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生产性保险服务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1431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生产性财产保险</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仅包括为生产活动提供的财产保险服务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6820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1432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生产性再保险</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仅包括为生产活动提供的再保险服务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6830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1433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保险经纪与代理服务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6850</w:t>
            </w:r>
          </w:p>
        </w:tc>
      </w:tr>
      <w:tr w:rsidR="0093106C" w:rsidRPr="0093106C" w:rsidTr="0093106C">
        <w:trPr>
          <w:trHeight w:val="285"/>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1434</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保险监管服务</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single" w:sz="8" w:space="0" w:color="auto"/>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6860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1435</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风险和损失评估</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6891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1436</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其他未列明保险活动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6899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144</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其他生产性金融服务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1441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担保服务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7296</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1442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金融信托与管理服务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6910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1443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控股公司服务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6920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1444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金融信息服务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6940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1445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其他未列明金融业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6990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15</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节能与环保服务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151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节能服务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1511</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20"/>
              <w:jc w:val="left"/>
              <w:rPr>
                <w:rFonts w:ascii="宋体" w:eastAsia="宋体" w:hAnsi="宋体" w:cs="宋体"/>
                <w:kern w:val="0"/>
                <w:sz w:val="24"/>
                <w:szCs w:val="24"/>
              </w:rPr>
            </w:pPr>
            <w:r w:rsidRPr="0093106C">
              <w:rPr>
                <w:rFonts w:ascii="宋体" w:eastAsia="宋体" w:hAnsi="宋体" w:cs="宋体" w:hint="eastAsia"/>
                <w:kern w:val="0"/>
                <w:sz w:val="24"/>
                <w:szCs w:val="24"/>
              </w:rPr>
              <w:t>节能技术和产品推广服务</w:t>
            </w:r>
          </w:p>
          <w:p w:rsidR="0093106C" w:rsidRPr="0093106C" w:rsidRDefault="0093106C" w:rsidP="0093106C">
            <w:pPr>
              <w:widowControl/>
              <w:spacing w:line="240" w:lineRule="atLeast"/>
              <w:ind w:firstLine="420"/>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20"/>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20"/>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20"/>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20"/>
              <w:jc w:val="left"/>
              <w:rPr>
                <w:rFonts w:ascii="宋体" w:eastAsia="宋体" w:hAnsi="宋体" w:cs="宋体"/>
                <w:kern w:val="0"/>
                <w:sz w:val="24"/>
                <w:szCs w:val="24"/>
              </w:rPr>
            </w:pPr>
            <w:r w:rsidRPr="0093106C">
              <w:rPr>
                <w:rFonts w:ascii="宋体" w:eastAsia="宋体" w:hAnsi="宋体" w:cs="宋体" w:hint="eastAsia"/>
                <w:kern w:val="0"/>
                <w:sz w:val="24"/>
                <w:szCs w:val="24"/>
              </w:rPr>
              <w:t>节能咨询服务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仅包括节能技术和产品的开发、交流、转让、推广服务，以及</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一站式</w:t>
            </w:r>
            <w:r w:rsidRPr="0093106C">
              <w:rPr>
                <w:rFonts w:ascii="宋体" w:eastAsia="宋体" w:hAnsi="宋体" w:cs="宋体"/>
                <w:kern w:val="0"/>
                <w:sz w:val="24"/>
                <w:szCs w:val="24"/>
              </w:rPr>
              <w:t>”</w:t>
            </w:r>
            <w:r w:rsidRPr="0093106C">
              <w:rPr>
                <w:rFonts w:ascii="宋体" w:eastAsia="宋体" w:hAnsi="宋体" w:cs="宋体" w:hint="eastAsia"/>
                <w:kern w:val="0"/>
                <w:sz w:val="24"/>
                <w:szCs w:val="24"/>
              </w:rPr>
              <w:t>合同能源管理综合服务</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仅包括节能技术咨询、节能评估、能源审计、节能量审核服务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7514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7514 **</w:t>
            </w:r>
          </w:p>
        </w:tc>
      </w:tr>
      <w:tr w:rsidR="0093106C" w:rsidRPr="0093106C" w:rsidTr="0093106C">
        <w:trPr>
          <w:trHeight w:val="423"/>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152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环境与污染治理服务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993"/>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1521</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生产性环境保护监测</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环保技术推广服务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仅包括对生产活动产生的各类污染排放物的测试和监测服务</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仅包括环保技术的推广服务，以及清洁</w:t>
            </w:r>
            <w:r w:rsidRPr="0093106C">
              <w:rPr>
                <w:rFonts w:ascii="宋体" w:eastAsia="宋体" w:hAnsi="宋体" w:cs="宋体" w:hint="eastAsia"/>
                <w:kern w:val="0"/>
                <w:sz w:val="24"/>
                <w:szCs w:val="24"/>
              </w:rPr>
              <w:lastRenderedPageBreak/>
              <w:t>生产审核（非政府职能）、环境总承包服务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lastRenderedPageBreak/>
              <w:t>7461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7519 **</w:t>
            </w:r>
          </w:p>
        </w:tc>
      </w:tr>
      <w:tr w:rsidR="0093106C" w:rsidRPr="0093106C" w:rsidTr="0093106C">
        <w:trPr>
          <w:trHeight w:val="34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r w:rsidRPr="0093106C">
              <w:rPr>
                <w:rFonts w:ascii="宋体" w:eastAsia="宋体" w:hAnsi="宋体" w:cs="宋体" w:hint="eastAsia"/>
                <w:spacing w:val="-8"/>
                <w:kern w:val="0"/>
                <w:sz w:val="24"/>
                <w:szCs w:val="24"/>
              </w:rPr>
              <w:t>生产污水处理和水污染治理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仅包括为生产活动提供的污水处理和水污染治理</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7721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4620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生产性大气污染治理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仅包括为生产活动提供的气体污染治理</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7722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生产性固体废物治理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仅包括为生产活动提供的固体废物治理</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7723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1526</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生产性危险废物治理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仅包括为生产活动提供的危险废物治理</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7724 *</w:t>
            </w:r>
          </w:p>
        </w:tc>
      </w:tr>
      <w:tr w:rsidR="0093106C" w:rsidRPr="0093106C" w:rsidTr="0093106C">
        <w:trPr>
          <w:trHeight w:val="285"/>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1527</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生产性放射性废物治理</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仅包括为生产活动提供的放射性废物治理</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7725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1528</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生产性其他污染治理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仅包括为生产活动提供的噪音污染、光污染等治理服务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7729 *</w:t>
            </w:r>
          </w:p>
        </w:tc>
      </w:tr>
      <w:tr w:rsidR="0093106C" w:rsidRPr="0093106C" w:rsidTr="0093106C">
        <w:trPr>
          <w:trHeight w:val="928"/>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153</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回收与利用服务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废弃物回收与资源化处理，再制造旧件回收等包含在此中类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1531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再生物资回收与批发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5191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1532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废弃资源综合利用业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42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16</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生产性租赁服务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161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融资租赁服务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114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1610</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金融租赁服务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人民银行、银监会批准成立的金融租赁公司和国务院商务主管部门批准成立的融资租赁公司均包含在此类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6631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162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实物租赁服务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96"/>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1621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汽车租赁</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7111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1622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农业机械租赁</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7112</w:t>
            </w:r>
          </w:p>
        </w:tc>
      </w:tr>
      <w:tr w:rsidR="0093106C" w:rsidRPr="0093106C" w:rsidTr="0093106C">
        <w:trPr>
          <w:trHeight w:val="349"/>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1623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建筑工程机械与设备租赁</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7113</w:t>
            </w:r>
          </w:p>
        </w:tc>
      </w:tr>
      <w:tr w:rsidR="0093106C" w:rsidRPr="0093106C" w:rsidTr="0093106C">
        <w:trPr>
          <w:trHeight w:val="412"/>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1624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计算机及通讯设备租赁</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7114</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1625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其他机械与设备租赁</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环保设备租赁包含在此类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7119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lastRenderedPageBreak/>
              <w:t>17</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商务服务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171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企业管理与法律服务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1711</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1712</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1713</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1714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企业总部管理</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投资与资产管理</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单位后勤管理服务</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其他企业管理服务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产权交易、废弃物交易、碳排放交易包含在此类</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7211</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7212</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7213</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7219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172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咨询与调查服务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1721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会计、审计及税务服务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资产评估、清算服务，以及能源审计服务包含在此类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7231</w:t>
            </w:r>
          </w:p>
        </w:tc>
      </w:tr>
      <w:tr w:rsidR="0093106C" w:rsidRPr="0093106C" w:rsidTr="0093106C">
        <w:trPr>
          <w:trHeight w:val="285"/>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1722</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市场调查</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7232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商务咨询服务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物流方案策划、物流咨询、发展战略规划、营销策划、管理咨询，以及环保咨询包含在此类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7233</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7239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173</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其他生产性商务服务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1731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广告业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7240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1732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生产性安全保护服务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仅包括为生产活动提供的保安服务、安全系统监控服务等</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728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1733</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市场管理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7291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1734</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会议及展览服务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7292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1735</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办公服务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7294</w:t>
            </w:r>
          </w:p>
        </w:tc>
      </w:tr>
      <w:tr w:rsidR="0093106C" w:rsidRPr="0093106C" w:rsidTr="0093106C">
        <w:trPr>
          <w:trHeight w:val="284"/>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1736</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信用服务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7295</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1737</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其他未列明商务服务业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7299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18</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人力资源管理与培训服务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181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人力资源管理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1811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职业中介服务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7262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1812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劳务派遣服务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7263</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1813</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其他人力资源服务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7269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182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职业教育和培训</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1821</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职业初中教育</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8232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1822</w:t>
            </w:r>
          </w:p>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1823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中等职业学校教育</w:t>
            </w:r>
          </w:p>
          <w:p w:rsidR="0093106C" w:rsidRPr="0093106C" w:rsidRDefault="0093106C" w:rsidP="0093106C">
            <w:pPr>
              <w:widowControl/>
              <w:spacing w:line="240" w:lineRule="atLeast"/>
              <w:ind w:firstLine="465"/>
              <w:jc w:val="left"/>
              <w:rPr>
                <w:rFonts w:ascii="宋体" w:eastAsia="宋体" w:hAnsi="宋体" w:cs="宋体"/>
                <w:kern w:val="0"/>
                <w:sz w:val="24"/>
                <w:szCs w:val="24"/>
              </w:rPr>
            </w:pPr>
            <w:r w:rsidRPr="0093106C">
              <w:rPr>
                <w:rFonts w:ascii="宋体" w:eastAsia="宋体" w:hAnsi="宋体" w:cs="宋体" w:hint="eastAsia"/>
                <w:kern w:val="0"/>
                <w:sz w:val="24"/>
                <w:szCs w:val="24"/>
              </w:rPr>
              <w:t>高等职业学校教育</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仅包括为生产活动提供的高等职业学校教育</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8236</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8241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1824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职业技能培训</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为生产活动提高就业人员就业技能的培训服务，以及农业技术培训等包含在</w:t>
            </w:r>
            <w:r w:rsidRPr="0093106C">
              <w:rPr>
                <w:rFonts w:ascii="宋体" w:eastAsia="宋体" w:hAnsi="宋体" w:cs="宋体" w:hint="eastAsia"/>
                <w:kern w:val="0"/>
                <w:sz w:val="24"/>
                <w:szCs w:val="24"/>
              </w:rPr>
              <w:lastRenderedPageBreak/>
              <w:t>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lastRenderedPageBreak/>
              <w:t>8291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lastRenderedPageBreak/>
              <w:t>19</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批发经纪代理服务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本类不包括零售服务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191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产品批发服务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进出口包含在此中类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农、林、牧产品批发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spacing w:val="-8"/>
                <w:kern w:val="0"/>
                <w:sz w:val="24"/>
                <w:szCs w:val="24"/>
              </w:rPr>
              <w:t xml:space="preserve">　　食品、饮料及烟草制品批发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512</w:t>
            </w:r>
          </w:p>
        </w:tc>
      </w:tr>
      <w:tr w:rsidR="0093106C" w:rsidRPr="0093106C" w:rsidTr="0093106C">
        <w:trPr>
          <w:trHeight w:val="284"/>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spacing w:val="-8"/>
                <w:kern w:val="0"/>
                <w:sz w:val="24"/>
                <w:szCs w:val="24"/>
              </w:rPr>
              <w:t xml:space="preserve">　　纺织、服装及家庭用品批发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513</w:t>
            </w:r>
          </w:p>
        </w:tc>
      </w:tr>
      <w:tr w:rsidR="0093106C" w:rsidRPr="0093106C" w:rsidTr="0093106C">
        <w:trPr>
          <w:trHeight w:val="284"/>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spacing w:val="-8"/>
                <w:kern w:val="0"/>
                <w:sz w:val="24"/>
                <w:szCs w:val="24"/>
              </w:rPr>
              <w:t xml:space="preserve">　　文化、体育用品及器材批发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514</w:t>
            </w:r>
          </w:p>
        </w:tc>
      </w:tr>
      <w:tr w:rsidR="0093106C" w:rsidRPr="0093106C" w:rsidTr="0093106C">
        <w:trPr>
          <w:trHeight w:val="284"/>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1915</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医药及医疗器材批发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515</w:t>
            </w:r>
          </w:p>
        </w:tc>
      </w:tr>
      <w:tr w:rsidR="0093106C" w:rsidRPr="0093106C" w:rsidTr="0093106C">
        <w:trPr>
          <w:trHeight w:val="285"/>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1916</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矿产品、建材及化工产品批发</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516</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1917</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机械设备、五金产品及电子产品批发</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517</w:t>
            </w:r>
          </w:p>
        </w:tc>
      </w:tr>
      <w:tr w:rsidR="0093106C" w:rsidRPr="0093106C" w:rsidTr="0093106C">
        <w:trPr>
          <w:trHeight w:val="284"/>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1918</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其他未列明批发业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5199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192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贸易经纪代理服务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国内贸易代理和对外贸易代理服务包含在此中类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1921</w:t>
            </w:r>
          </w:p>
        </w:tc>
        <w:tc>
          <w:tcPr>
            <w:tcW w:w="3423" w:type="dxa"/>
            <w:tcBorders>
              <w:top w:val="nil"/>
              <w:left w:val="nil"/>
              <w:bottom w:val="nil"/>
              <w:right w:val="single" w:sz="8" w:space="0" w:color="auto"/>
            </w:tcBorders>
            <w:tcMar>
              <w:top w:w="0" w:type="dxa"/>
              <w:left w:w="28" w:type="dxa"/>
              <w:bottom w:w="0" w:type="dxa"/>
              <w:right w:w="28" w:type="dxa"/>
            </w:tcMar>
            <w:vAlign w:val="cente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贸易代理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5181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拍卖</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5182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1923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其他贸易经纪与代理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5189</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20</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生产性支持服务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201</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农林牧</w:t>
            </w:r>
            <w:proofErr w:type="gramStart"/>
            <w:r w:rsidRPr="0093106C">
              <w:rPr>
                <w:rFonts w:ascii="宋体" w:eastAsia="宋体" w:hAnsi="宋体" w:cs="宋体" w:hint="eastAsia"/>
                <w:b/>
                <w:bCs/>
                <w:kern w:val="0"/>
                <w:sz w:val="24"/>
                <w:szCs w:val="24"/>
                <w:bdr w:val="none" w:sz="0" w:space="0" w:color="auto" w:frame="1"/>
              </w:rPr>
              <w:t>渔服务</w:t>
            </w:r>
            <w:proofErr w:type="gramEnd"/>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2011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农业服务业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051</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2012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林业服务业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052</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2013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畜牧服务业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053</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2014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渔业服务业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054</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202</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开采辅助服务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2021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煤炭开采和洗选辅助活动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1110</w:t>
            </w:r>
          </w:p>
        </w:tc>
      </w:tr>
      <w:tr w:rsidR="0093106C" w:rsidRPr="0093106C" w:rsidTr="0093106C">
        <w:trPr>
          <w:trHeight w:val="291"/>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2022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r w:rsidRPr="0093106C">
              <w:rPr>
                <w:rFonts w:ascii="宋体" w:eastAsia="宋体" w:hAnsi="宋体" w:cs="宋体" w:hint="eastAsia"/>
                <w:spacing w:val="-8"/>
                <w:kern w:val="0"/>
                <w:sz w:val="24"/>
                <w:szCs w:val="24"/>
              </w:rPr>
              <w:t>石油和天然气开采辅助活动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1120</w:t>
            </w:r>
          </w:p>
        </w:tc>
      </w:tr>
      <w:tr w:rsidR="0093106C" w:rsidRPr="0093106C" w:rsidTr="0093106C">
        <w:trPr>
          <w:trHeight w:val="239"/>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2023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其他开采辅助活动</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1190</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203</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2031</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207"/>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为生产人员提供的支助服务</w:t>
            </w:r>
          </w:p>
          <w:p w:rsidR="0093106C" w:rsidRPr="0093106C" w:rsidRDefault="0093106C" w:rsidP="0093106C">
            <w:pPr>
              <w:widowControl/>
              <w:spacing w:line="240" w:lineRule="atLeast"/>
              <w:ind w:firstLine="382"/>
              <w:jc w:val="left"/>
              <w:rPr>
                <w:rFonts w:ascii="宋体" w:eastAsia="宋体" w:hAnsi="宋体" w:cs="宋体"/>
                <w:kern w:val="0"/>
                <w:sz w:val="24"/>
                <w:szCs w:val="24"/>
              </w:rPr>
            </w:pPr>
            <w:r w:rsidRPr="0093106C">
              <w:rPr>
                <w:rFonts w:ascii="宋体" w:eastAsia="宋体" w:hAnsi="宋体" w:cs="宋体" w:hint="eastAsia"/>
                <w:spacing w:val="-8"/>
                <w:kern w:val="0"/>
                <w:sz w:val="24"/>
                <w:szCs w:val="24"/>
              </w:rPr>
              <w:t>为生产人员提供的交通服务</w:t>
            </w:r>
          </w:p>
          <w:p w:rsidR="0093106C" w:rsidRPr="0093106C" w:rsidRDefault="0093106C" w:rsidP="0093106C">
            <w:pPr>
              <w:widowControl/>
              <w:spacing w:line="240" w:lineRule="atLeast"/>
              <w:ind w:firstLine="206"/>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206"/>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仅包括为生产、商务活动提供铁路、公路、水上、民航的旅客运输，以及城市公共交通运输服务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5310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541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5420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551 *</w:t>
            </w:r>
          </w:p>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5611 *</w:t>
            </w:r>
          </w:p>
        </w:tc>
      </w:tr>
      <w:tr w:rsidR="0093106C" w:rsidRPr="0093106C" w:rsidTr="0093106C">
        <w:trPr>
          <w:trHeight w:val="30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2032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ind w:firstLine="420"/>
              <w:jc w:val="left"/>
              <w:rPr>
                <w:rFonts w:ascii="宋体" w:eastAsia="宋体" w:hAnsi="宋体" w:cs="宋体"/>
                <w:kern w:val="0"/>
                <w:sz w:val="24"/>
                <w:szCs w:val="24"/>
              </w:rPr>
            </w:pPr>
            <w:r w:rsidRPr="0093106C">
              <w:rPr>
                <w:rFonts w:ascii="宋体" w:eastAsia="宋体" w:hAnsi="宋体" w:cs="宋体" w:hint="eastAsia"/>
                <w:kern w:val="0"/>
                <w:sz w:val="24"/>
                <w:szCs w:val="24"/>
              </w:rPr>
              <w:t>为生产人员提供的其他</w:t>
            </w:r>
            <w:r w:rsidRPr="0093106C">
              <w:rPr>
                <w:rFonts w:ascii="宋体" w:eastAsia="宋体" w:hAnsi="宋体" w:cs="宋体" w:hint="eastAsia"/>
                <w:kern w:val="0"/>
                <w:sz w:val="24"/>
                <w:szCs w:val="24"/>
              </w:rPr>
              <w:lastRenderedPageBreak/>
              <w:t>支助服务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仅包括为生产、商务</w:t>
            </w:r>
            <w:r w:rsidRPr="0093106C">
              <w:rPr>
                <w:rFonts w:ascii="宋体" w:eastAsia="宋体" w:hAnsi="宋体" w:cs="宋体" w:hint="eastAsia"/>
                <w:kern w:val="0"/>
                <w:sz w:val="24"/>
                <w:szCs w:val="24"/>
              </w:rPr>
              <w:lastRenderedPageBreak/>
              <w:t>活动提供旅游饭店、一般旅馆的住宿服务，以及为生产、商务活动提供的正餐、餐饮送配和机构餐饮的服务等</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lastRenderedPageBreak/>
              <w:t>6110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lastRenderedPageBreak/>
              <w:t>6120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6210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6291 *</w:t>
            </w:r>
          </w:p>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6299 *</w:t>
            </w:r>
          </w:p>
        </w:tc>
      </w:tr>
      <w:tr w:rsidR="0093106C" w:rsidRPr="0093106C" w:rsidTr="0093106C">
        <w:trPr>
          <w:trHeight w:val="300"/>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lastRenderedPageBreak/>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204</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机械设备修理和售后服务</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产品设备的安装调试、以旧换新、远程检测诊断、运营维护、技术支持等售后服务，以及设备监理、维护、修理和运行等全生命周期服务包含在此中类</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637"/>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2041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金属制品、机械和设备修理业</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43</w:t>
            </w:r>
          </w:p>
        </w:tc>
      </w:tr>
      <w:tr w:rsidR="0093106C" w:rsidRPr="0093106C" w:rsidTr="0093106C">
        <w:trPr>
          <w:trHeight w:val="570"/>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2042</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生产用汽车修理与维护</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仅包括为生产活动提供的汽车维修和维护服务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8011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2043</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计算机和办公设备维修</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电子办公设备的三包等售后服务包含在此类</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802</w:t>
            </w:r>
          </w:p>
        </w:tc>
      </w:tr>
      <w:tr w:rsidR="0093106C" w:rsidRPr="0093106C" w:rsidTr="0093106C">
        <w:trPr>
          <w:trHeight w:val="33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2044</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生产用电器修理</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仅包括为生产活动提供的电器维修及其他三包售后服务</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803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b/>
                <w:bCs/>
                <w:kern w:val="0"/>
                <w:sz w:val="24"/>
                <w:szCs w:val="24"/>
                <w:bdr w:val="none" w:sz="0" w:space="0" w:color="auto" w:frame="1"/>
              </w:rPr>
              <w:t>205</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b/>
                <w:bCs/>
                <w:kern w:val="0"/>
                <w:sz w:val="24"/>
                <w:szCs w:val="24"/>
                <w:bdr w:val="none" w:sz="0" w:space="0" w:color="auto" w:frame="1"/>
              </w:rPr>
              <w:t xml:space="preserve">　生产性保洁服务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kern w:val="0"/>
                <w:sz w:val="24"/>
                <w:szCs w:val="24"/>
              </w:rPr>
              <w:t> </w:t>
            </w:r>
          </w:p>
        </w:tc>
      </w:tr>
      <w:tr w:rsidR="0093106C" w:rsidRPr="0093106C" w:rsidTr="0093106C">
        <w:trPr>
          <w:trHeight w:val="285"/>
          <w:jc w:val="center"/>
        </w:trPr>
        <w:tc>
          <w:tcPr>
            <w:tcW w:w="709"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2051</w:t>
            </w:r>
          </w:p>
        </w:tc>
        <w:tc>
          <w:tcPr>
            <w:tcW w:w="3423"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建筑物清洁服务</w:t>
            </w:r>
          </w:p>
        </w:tc>
        <w:tc>
          <w:tcPr>
            <w:tcW w:w="2500" w:type="dxa"/>
            <w:tcBorders>
              <w:top w:val="nil"/>
              <w:left w:val="nil"/>
              <w:bottom w:val="nil"/>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nil"/>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8111</w:t>
            </w:r>
          </w:p>
        </w:tc>
      </w:tr>
      <w:tr w:rsidR="0093106C" w:rsidRPr="0093106C" w:rsidTr="0093106C">
        <w:trPr>
          <w:trHeight w:val="285"/>
          <w:jc w:val="center"/>
        </w:trPr>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78"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72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center"/>
              <w:rPr>
                <w:rFonts w:ascii="宋体" w:eastAsia="宋体" w:hAnsi="宋体" w:cs="宋体"/>
                <w:kern w:val="0"/>
                <w:sz w:val="24"/>
                <w:szCs w:val="24"/>
              </w:rPr>
            </w:pPr>
            <w:r w:rsidRPr="0093106C">
              <w:rPr>
                <w:rFonts w:ascii="宋体" w:eastAsia="宋体" w:hAnsi="宋体" w:cs="宋体"/>
                <w:kern w:val="0"/>
                <w:sz w:val="24"/>
                <w:szCs w:val="24"/>
              </w:rPr>
              <w:t>2052</w:t>
            </w:r>
          </w:p>
        </w:tc>
        <w:tc>
          <w:tcPr>
            <w:tcW w:w="3423"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其他清洁服务</w:t>
            </w:r>
          </w:p>
        </w:tc>
        <w:tc>
          <w:tcPr>
            <w:tcW w:w="2500" w:type="dxa"/>
            <w:tcBorders>
              <w:top w:val="nil"/>
              <w:left w:val="nil"/>
              <w:bottom w:val="single" w:sz="8" w:space="0" w:color="auto"/>
              <w:right w:val="single" w:sz="8" w:space="0" w:color="auto"/>
            </w:tcBorders>
            <w:tcMar>
              <w:top w:w="0" w:type="dxa"/>
              <w:left w:w="28" w:type="dxa"/>
              <w:bottom w:w="0" w:type="dxa"/>
              <w:right w:w="28" w:type="dxa"/>
            </w:tcMar>
            <w:hideMark/>
          </w:tcPr>
          <w:p w:rsidR="0093106C" w:rsidRPr="0093106C" w:rsidRDefault="0093106C" w:rsidP="0093106C">
            <w:pPr>
              <w:widowControl/>
              <w:spacing w:line="240" w:lineRule="atLeast"/>
              <w:jc w:val="left"/>
              <w:rPr>
                <w:rFonts w:ascii="宋体" w:eastAsia="宋体" w:hAnsi="宋体" w:cs="宋体"/>
                <w:kern w:val="0"/>
                <w:sz w:val="24"/>
                <w:szCs w:val="24"/>
              </w:rPr>
            </w:pPr>
            <w:r w:rsidRPr="0093106C">
              <w:rPr>
                <w:rFonts w:ascii="宋体" w:eastAsia="宋体" w:hAnsi="宋体" w:cs="宋体" w:hint="eastAsia"/>
                <w:kern w:val="0"/>
                <w:sz w:val="24"/>
                <w:szCs w:val="24"/>
              </w:rPr>
              <w:t xml:space="preserve">　</w:t>
            </w:r>
          </w:p>
        </w:tc>
        <w:tc>
          <w:tcPr>
            <w:tcW w:w="1309" w:type="dxa"/>
            <w:tcBorders>
              <w:top w:val="nil"/>
              <w:left w:val="nil"/>
              <w:bottom w:val="single" w:sz="8" w:space="0" w:color="auto"/>
              <w:right w:val="nil"/>
            </w:tcBorders>
            <w:tcMar>
              <w:top w:w="0" w:type="dxa"/>
              <w:left w:w="28" w:type="dxa"/>
              <w:bottom w:w="0" w:type="dxa"/>
              <w:right w:w="28" w:type="dxa"/>
            </w:tcMar>
            <w:hideMark/>
          </w:tcPr>
          <w:p w:rsidR="0093106C" w:rsidRPr="0093106C" w:rsidRDefault="0093106C" w:rsidP="0093106C">
            <w:pPr>
              <w:widowControl/>
              <w:spacing w:line="240" w:lineRule="atLeast"/>
              <w:ind w:firstLine="105"/>
              <w:jc w:val="left"/>
              <w:rPr>
                <w:rFonts w:ascii="宋体" w:eastAsia="宋体" w:hAnsi="宋体" w:cs="宋体"/>
                <w:kern w:val="0"/>
                <w:sz w:val="24"/>
                <w:szCs w:val="24"/>
              </w:rPr>
            </w:pPr>
            <w:r w:rsidRPr="0093106C">
              <w:rPr>
                <w:rFonts w:ascii="宋体" w:eastAsia="宋体" w:hAnsi="宋体" w:cs="宋体"/>
                <w:kern w:val="0"/>
                <w:sz w:val="24"/>
                <w:szCs w:val="24"/>
              </w:rPr>
              <w:t>8119</w:t>
            </w:r>
          </w:p>
        </w:tc>
      </w:tr>
    </w:tbl>
    <w:p w:rsidR="0093106C" w:rsidRPr="0093106C" w:rsidRDefault="0093106C" w:rsidP="0093106C">
      <w:pPr>
        <w:widowControl/>
        <w:shd w:val="clear" w:color="auto" w:fill="FFFFFF"/>
        <w:ind w:left="398" w:hanging="398"/>
        <w:jc w:val="left"/>
        <w:rPr>
          <w:rFonts w:ascii="宋体" w:eastAsia="宋体" w:hAnsi="宋体" w:cs="宋体" w:hint="eastAsia"/>
          <w:color w:val="333333"/>
          <w:kern w:val="0"/>
          <w:sz w:val="18"/>
          <w:szCs w:val="18"/>
        </w:rPr>
      </w:pPr>
      <w:r w:rsidRPr="0093106C">
        <w:rPr>
          <w:rFonts w:ascii="宋体" w:eastAsia="宋体" w:hAnsi="宋体" w:cs="宋体" w:hint="eastAsia"/>
          <w:b/>
          <w:bCs/>
          <w:color w:val="333333"/>
          <w:spacing w:val="-4"/>
          <w:kern w:val="0"/>
          <w:sz w:val="18"/>
          <w:szCs w:val="18"/>
          <w:bdr w:val="none" w:sz="0" w:space="0" w:color="auto" w:frame="1"/>
        </w:rPr>
        <w:t>注：</w:t>
      </w:r>
      <w:r w:rsidRPr="0093106C">
        <w:rPr>
          <w:rFonts w:ascii="宋体" w:eastAsia="宋体" w:hAnsi="宋体" w:cs="宋体" w:hint="eastAsia"/>
          <w:color w:val="333333"/>
          <w:spacing w:val="-4"/>
          <w:kern w:val="0"/>
          <w:sz w:val="18"/>
          <w:szCs w:val="18"/>
        </w:rPr>
        <w:t>符号“*”表示该行业类别仅有部分内容属于生产性服务业；符号“**”表示除部分对应外，该行业类别还对应生产性服务业的其他类别。</w:t>
      </w:r>
    </w:p>
    <w:p w:rsidR="0099650A" w:rsidRPr="0093106C" w:rsidRDefault="0099650A"/>
    <w:sectPr w:rsidR="0099650A" w:rsidRPr="009310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6C"/>
    <w:rsid w:val="0093106C"/>
    <w:rsid w:val="0099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06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3106C"/>
    <w:rPr>
      <w:sz w:val="18"/>
      <w:szCs w:val="18"/>
    </w:rPr>
  </w:style>
  <w:style w:type="character" w:customStyle="1" w:styleId="Char">
    <w:name w:val="批注框文本 Char"/>
    <w:basedOn w:val="a0"/>
    <w:link w:val="a4"/>
    <w:uiPriority w:val="99"/>
    <w:semiHidden/>
    <w:rsid w:val="009310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06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3106C"/>
    <w:rPr>
      <w:sz w:val="18"/>
      <w:szCs w:val="18"/>
    </w:rPr>
  </w:style>
  <w:style w:type="character" w:customStyle="1" w:styleId="Char">
    <w:name w:val="批注框文本 Char"/>
    <w:basedOn w:val="a0"/>
    <w:link w:val="a4"/>
    <w:uiPriority w:val="99"/>
    <w:semiHidden/>
    <w:rsid w:val="009310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Guxl</dc:creator>
  <cp:lastModifiedBy>Guxl</cp:lastModifiedBy>
  <cp:revision>1</cp:revision>
  <dcterms:created xsi:type="dcterms:W3CDTF">2018-06-15T01:08:00Z</dcterms:created>
  <dcterms:modified xsi:type="dcterms:W3CDTF">2018-06-15T01:09:00Z</dcterms:modified>
</cp:coreProperties>
</file>