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19" w:rsidRPr="00A9332E" w:rsidRDefault="00D65A19" w:rsidP="00765EC5">
      <w:pPr>
        <w:jc w:val="center"/>
        <w:rPr>
          <w:b/>
          <w:bCs/>
          <w:sz w:val="32"/>
          <w:szCs w:val="32"/>
        </w:rPr>
      </w:pPr>
      <w:bookmarkStart w:id="0" w:name="_Toc499289374"/>
      <w:bookmarkStart w:id="1" w:name="_Toc509564765"/>
      <w:bookmarkStart w:id="2" w:name="_Toc509680256"/>
      <w:bookmarkStart w:id="3" w:name="_Toc509680277"/>
      <w:bookmarkStart w:id="4" w:name="_Toc499289375"/>
      <w:r w:rsidRPr="00A9332E">
        <w:rPr>
          <w:rFonts w:cs="宋体" w:hint="eastAsia"/>
          <w:b/>
          <w:bCs/>
          <w:sz w:val="32"/>
          <w:szCs w:val="32"/>
        </w:rPr>
        <w:t>新道人才培养实验室资源库职业素质系列课程包采购要求</w:t>
      </w:r>
    </w:p>
    <w:bookmarkEnd w:id="0"/>
    <w:bookmarkEnd w:id="1"/>
    <w:bookmarkEnd w:id="2"/>
    <w:bookmarkEnd w:id="3"/>
    <w:bookmarkEnd w:id="4"/>
    <w:p w:rsidR="00D65A19" w:rsidRDefault="00D65A19" w:rsidP="00495924">
      <w:pPr>
        <w:rPr>
          <w:b/>
          <w:bCs/>
          <w:sz w:val="24"/>
          <w:szCs w:val="24"/>
        </w:rPr>
      </w:pPr>
    </w:p>
    <w:p w:rsidR="00D65A19" w:rsidRPr="00A9332E" w:rsidRDefault="00D65A19" w:rsidP="00A9332E">
      <w:pPr>
        <w:numPr>
          <w:ilvl w:val="0"/>
          <w:numId w:val="13"/>
        </w:numPr>
        <w:tabs>
          <w:tab w:val="clear" w:pos="390"/>
          <w:tab w:val="num" w:pos="1080"/>
        </w:tabs>
        <w:ind w:left="0" w:firstLineChars="224" w:firstLine="31680"/>
        <w:rPr>
          <w:b/>
          <w:bCs/>
          <w:sz w:val="24"/>
          <w:szCs w:val="24"/>
        </w:rPr>
      </w:pPr>
      <w:r w:rsidRPr="00A9332E">
        <w:rPr>
          <w:rFonts w:cs="宋体" w:hint="eastAsia"/>
          <w:b/>
          <w:bCs/>
          <w:sz w:val="24"/>
          <w:szCs w:val="24"/>
        </w:rPr>
        <w:t>产品型号、模块</w:t>
      </w:r>
    </w:p>
    <w:tbl>
      <w:tblPr>
        <w:tblW w:w="85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4218"/>
        <w:gridCol w:w="920"/>
        <w:gridCol w:w="1276"/>
        <w:gridCol w:w="1418"/>
      </w:tblGrid>
      <w:tr w:rsidR="00D65A19" w:rsidRPr="00A9332E">
        <w:trPr>
          <w:trHeight w:val="753"/>
        </w:trPr>
        <w:tc>
          <w:tcPr>
            <w:tcW w:w="674" w:type="dxa"/>
            <w:vAlign w:val="center"/>
          </w:tcPr>
          <w:p w:rsidR="00D65A19" w:rsidRPr="00A9332E" w:rsidRDefault="00D65A19" w:rsidP="00F31F36">
            <w:pPr>
              <w:jc w:val="center"/>
              <w:rPr>
                <w:b/>
                <w:bCs/>
              </w:rPr>
            </w:pPr>
            <w:r w:rsidRPr="00A9332E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4218" w:type="dxa"/>
            <w:vAlign w:val="center"/>
          </w:tcPr>
          <w:p w:rsidR="00D65A19" w:rsidRPr="00A9332E" w:rsidRDefault="00D65A19" w:rsidP="00F31F36">
            <w:pPr>
              <w:jc w:val="center"/>
              <w:rPr>
                <w:b/>
                <w:bCs/>
              </w:rPr>
            </w:pPr>
            <w:r w:rsidRPr="00A9332E">
              <w:rPr>
                <w:rFonts w:cs="宋体" w:hint="eastAsia"/>
                <w:b/>
                <w:bCs/>
              </w:rPr>
              <w:t>内容</w:t>
            </w:r>
          </w:p>
        </w:tc>
        <w:tc>
          <w:tcPr>
            <w:tcW w:w="920" w:type="dxa"/>
          </w:tcPr>
          <w:p w:rsidR="00D65A19" w:rsidRPr="00A9332E" w:rsidRDefault="00D65A19" w:rsidP="00F31F36">
            <w:pPr>
              <w:spacing w:line="600" w:lineRule="auto"/>
              <w:jc w:val="center"/>
              <w:rPr>
                <w:b/>
                <w:bCs/>
              </w:rPr>
            </w:pPr>
            <w:r w:rsidRPr="00A9332E">
              <w:rPr>
                <w:rFonts w:cs="宋体" w:hint="eastAsia"/>
                <w:b/>
                <w:bCs/>
              </w:rPr>
              <w:t>型号</w:t>
            </w:r>
          </w:p>
        </w:tc>
        <w:tc>
          <w:tcPr>
            <w:tcW w:w="1276" w:type="dxa"/>
          </w:tcPr>
          <w:p w:rsidR="00D65A19" w:rsidRPr="00A9332E" w:rsidRDefault="00D65A19" w:rsidP="00F31F36">
            <w:pPr>
              <w:spacing w:line="600" w:lineRule="auto"/>
              <w:jc w:val="center"/>
              <w:rPr>
                <w:b/>
                <w:bCs/>
              </w:rPr>
            </w:pPr>
            <w:r w:rsidRPr="00A9332E"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418" w:type="dxa"/>
          </w:tcPr>
          <w:p w:rsidR="00D65A19" w:rsidRPr="00A9332E" w:rsidRDefault="00D65A19" w:rsidP="00F31F36">
            <w:pPr>
              <w:spacing w:line="600" w:lineRule="auto"/>
              <w:jc w:val="center"/>
              <w:rPr>
                <w:b/>
                <w:bCs/>
              </w:rPr>
            </w:pPr>
            <w:r w:rsidRPr="00A9332E">
              <w:rPr>
                <w:rFonts w:cs="宋体" w:hint="eastAsia"/>
                <w:b/>
                <w:bCs/>
              </w:rPr>
              <w:t>质保期</w:t>
            </w:r>
          </w:p>
        </w:tc>
      </w:tr>
      <w:tr w:rsidR="00D65A19" w:rsidRPr="00A9332E">
        <w:trPr>
          <w:trHeight w:val="859"/>
        </w:trPr>
        <w:tc>
          <w:tcPr>
            <w:tcW w:w="674" w:type="dxa"/>
            <w:vAlign w:val="center"/>
          </w:tcPr>
          <w:p w:rsidR="00D65A19" w:rsidRPr="00A9332E" w:rsidRDefault="00D65A19" w:rsidP="00F31F36">
            <w:pPr>
              <w:jc w:val="center"/>
            </w:pPr>
            <w:r w:rsidRPr="00A9332E">
              <w:t>1</w:t>
            </w:r>
          </w:p>
        </w:tc>
        <w:tc>
          <w:tcPr>
            <w:tcW w:w="4218" w:type="dxa"/>
            <w:vAlign w:val="center"/>
          </w:tcPr>
          <w:p w:rsidR="00D65A19" w:rsidRPr="00A9332E" w:rsidRDefault="00D65A19" w:rsidP="00F8134D">
            <w:pPr>
              <w:jc w:val="center"/>
            </w:pPr>
            <w:r w:rsidRPr="00A9332E">
              <w:rPr>
                <w:rFonts w:cs="宋体" w:hint="eastAsia"/>
              </w:rPr>
              <w:t>新道人才培养实验室资源库职业素质系类课程包</w:t>
            </w:r>
          </w:p>
        </w:tc>
        <w:tc>
          <w:tcPr>
            <w:tcW w:w="920" w:type="dxa"/>
          </w:tcPr>
          <w:p w:rsidR="00D65A19" w:rsidRPr="00A9332E" w:rsidRDefault="00D65A19" w:rsidP="00F31F36">
            <w:pPr>
              <w:spacing w:line="600" w:lineRule="auto"/>
              <w:jc w:val="center"/>
              <w:rPr>
                <w:b/>
                <w:bCs/>
              </w:rPr>
            </w:pPr>
            <w:r w:rsidRPr="00A9332E">
              <w:rPr>
                <w:b/>
                <w:bCs/>
              </w:rPr>
              <w:t>V1.0</w:t>
            </w:r>
          </w:p>
        </w:tc>
        <w:tc>
          <w:tcPr>
            <w:tcW w:w="1276" w:type="dxa"/>
          </w:tcPr>
          <w:p w:rsidR="00D65A19" w:rsidRPr="00A9332E" w:rsidRDefault="00D65A19" w:rsidP="00F31F36">
            <w:pPr>
              <w:spacing w:line="600" w:lineRule="auto"/>
              <w:jc w:val="center"/>
              <w:rPr>
                <w:b/>
                <w:bCs/>
              </w:rPr>
            </w:pPr>
            <w:r w:rsidRPr="00A9332E">
              <w:rPr>
                <w:b/>
                <w:bCs/>
              </w:rPr>
              <w:t>1</w:t>
            </w:r>
            <w:r w:rsidRPr="00A9332E">
              <w:rPr>
                <w:rFonts w:cs="宋体" w:hint="eastAsia"/>
                <w:b/>
                <w:bCs/>
              </w:rPr>
              <w:t>套</w:t>
            </w:r>
          </w:p>
        </w:tc>
        <w:tc>
          <w:tcPr>
            <w:tcW w:w="1418" w:type="dxa"/>
          </w:tcPr>
          <w:p w:rsidR="00D65A19" w:rsidRPr="00A9332E" w:rsidRDefault="00D65A19" w:rsidP="00F31F36">
            <w:pPr>
              <w:spacing w:line="600" w:lineRule="auto"/>
              <w:jc w:val="center"/>
              <w:rPr>
                <w:b/>
                <w:bCs/>
                <w:highlight w:val="yellow"/>
              </w:rPr>
            </w:pPr>
            <w:r w:rsidRPr="00A9332E">
              <w:rPr>
                <w:b/>
                <w:bCs/>
              </w:rPr>
              <w:t>1</w:t>
            </w:r>
            <w:r w:rsidRPr="00A9332E">
              <w:rPr>
                <w:rFonts w:cs="宋体" w:hint="eastAsia"/>
                <w:b/>
                <w:bCs/>
              </w:rPr>
              <w:t>年</w:t>
            </w:r>
          </w:p>
        </w:tc>
      </w:tr>
    </w:tbl>
    <w:p w:rsidR="00D65A19" w:rsidRPr="00A9332E" w:rsidRDefault="00D65A19" w:rsidP="00495924">
      <w:pPr>
        <w:ind w:firstLine="480"/>
        <w:rPr>
          <w:rFonts w:ascii="宋体" w:cs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新道人才培养实验室资源库职业素质系类课程包，包含五个课程：</w:t>
      </w:r>
    </w:p>
    <w:p w:rsidR="00D65A19" w:rsidRPr="00A9332E" w:rsidRDefault="00D65A19" w:rsidP="00A9332E">
      <w:pPr>
        <w:pStyle w:val="ListParagraph"/>
        <w:numPr>
          <w:ilvl w:val="0"/>
          <w:numId w:val="12"/>
        </w:numPr>
        <w:tabs>
          <w:tab w:val="left" w:pos="900"/>
        </w:tabs>
        <w:ind w:left="0" w:firstLineChars="0" w:firstLine="480"/>
        <w:rPr>
          <w:rFonts w:ascii="宋体" w:cs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如何有效管理你的时间</w:t>
      </w:r>
    </w:p>
    <w:p w:rsidR="00D65A19" w:rsidRPr="00A9332E" w:rsidRDefault="00D65A19" w:rsidP="00A9332E">
      <w:pPr>
        <w:pStyle w:val="ListParagraph"/>
        <w:numPr>
          <w:ilvl w:val="0"/>
          <w:numId w:val="12"/>
        </w:numPr>
        <w:tabs>
          <w:tab w:val="left" w:pos="900"/>
        </w:tabs>
        <w:ind w:left="0" w:firstLineChars="0" w:firstLine="480"/>
        <w:rPr>
          <w:rFonts w:ascii="宋体" w:cs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阳光心态</w:t>
      </w:r>
    </w:p>
    <w:p w:rsidR="00D65A19" w:rsidRPr="00A9332E" w:rsidRDefault="00D65A19" w:rsidP="00A9332E">
      <w:pPr>
        <w:pStyle w:val="ListParagraph"/>
        <w:numPr>
          <w:ilvl w:val="0"/>
          <w:numId w:val="12"/>
        </w:numPr>
        <w:tabs>
          <w:tab w:val="left" w:pos="900"/>
        </w:tabs>
        <w:ind w:left="0" w:firstLineChars="0" w:firstLine="480"/>
        <w:rPr>
          <w:rFonts w:ascii="宋体" w:cs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职业生涯规划与自我管理</w:t>
      </w:r>
    </w:p>
    <w:p w:rsidR="00D65A19" w:rsidRPr="00A9332E" w:rsidRDefault="00D65A19" w:rsidP="00A9332E">
      <w:pPr>
        <w:pStyle w:val="ListParagraph"/>
        <w:numPr>
          <w:ilvl w:val="0"/>
          <w:numId w:val="12"/>
        </w:numPr>
        <w:tabs>
          <w:tab w:val="left" w:pos="900"/>
        </w:tabs>
        <w:ind w:left="0" w:firstLineChars="0" w:firstLine="480"/>
        <w:rPr>
          <w:rFonts w:ascii="宋体" w:cs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中国信息化企业管理模式与人才需求</w:t>
      </w:r>
    </w:p>
    <w:p w:rsidR="00D65A19" w:rsidRPr="00A9332E" w:rsidRDefault="00D65A19" w:rsidP="00A9332E">
      <w:pPr>
        <w:pStyle w:val="ListParagraph"/>
        <w:numPr>
          <w:ilvl w:val="0"/>
          <w:numId w:val="12"/>
        </w:numPr>
        <w:tabs>
          <w:tab w:val="left" w:pos="900"/>
        </w:tabs>
        <w:ind w:left="0" w:firstLineChars="0" w:firstLine="480"/>
        <w:rPr>
          <w:rFonts w:ascii="宋体" w:cs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走近顾问人生</w:t>
      </w:r>
    </w:p>
    <w:p w:rsidR="00D65A19" w:rsidRPr="00A9332E" w:rsidRDefault="00D65A19" w:rsidP="00A9332E">
      <w:pPr>
        <w:numPr>
          <w:ilvl w:val="0"/>
          <w:numId w:val="13"/>
        </w:numPr>
        <w:tabs>
          <w:tab w:val="clear" w:pos="390"/>
          <w:tab w:val="num" w:pos="1080"/>
        </w:tabs>
        <w:ind w:left="0" w:firstLineChars="224" w:firstLine="31680"/>
        <w:rPr>
          <w:b/>
          <w:bCs/>
          <w:sz w:val="24"/>
          <w:szCs w:val="24"/>
        </w:rPr>
      </w:pPr>
      <w:r w:rsidRPr="00A9332E">
        <w:rPr>
          <w:rFonts w:cs="宋体" w:hint="eastAsia"/>
          <w:b/>
          <w:bCs/>
          <w:sz w:val="24"/>
          <w:szCs w:val="24"/>
        </w:rPr>
        <w:t>产品供货期限</w:t>
      </w:r>
    </w:p>
    <w:p w:rsidR="00D65A19" w:rsidRPr="00A9332E" w:rsidRDefault="00D65A19" w:rsidP="00640744">
      <w:pPr>
        <w:ind w:firstLineChars="225" w:firstLine="31680"/>
        <w:rPr>
          <w:b/>
          <w:bCs/>
          <w:sz w:val="24"/>
          <w:szCs w:val="24"/>
        </w:rPr>
      </w:pPr>
      <w:bookmarkStart w:id="5" w:name="_Toc499289382"/>
      <w:r>
        <w:rPr>
          <w:rFonts w:cs="宋体" w:hint="eastAsia"/>
          <w:sz w:val="24"/>
          <w:szCs w:val="24"/>
        </w:rPr>
        <w:t>合同签订生效后</w:t>
      </w:r>
      <w:r>
        <w:rPr>
          <w:sz w:val="24"/>
          <w:szCs w:val="24"/>
        </w:rPr>
        <w:t>30</w:t>
      </w:r>
      <w:r>
        <w:rPr>
          <w:rFonts w:cs="宋体" w:hint="eastAsia"/>
          <w:sz w:val="24"/>
          <w:szCs w:val="24"/>
        </w:rPr>
        <w:t>个日历天。</w:t>
      </w:r>
      <w:r w:rsidRPr="00A9332E">
        <w:rPr>
          <w:rFonts w:cs="宋体" w:hint="eastAsia"/>
          <w:b/>
          <w:bCs/>
          <w:sz w:val="24"/>
          <w:szCs w:val="24"/>
        </w:rPr>
        <w:t>售后服务</w:t>
      </w:r>
      <w:bookmarkEnd w:id="5"/>
      <w:r w:rsidRPr="00A9332E">
        <w:rPr>
          <w:rFonts w:cs="宋体" w:hint="eastAsia"/>
          <w:b/>
          <w:bCs/>
          <w:sz w:val="24"/>
          <w:szCs w:val="24"/>
        </w:rPr>
        <w:t>、质保</w:t>
      </w:r>
    </w:p>
    <w:p w:rsidR="00D65A19" w:rsidRPr="00A9332E" w:rsidRDefault="00D65A19" w:rsidP="00A9332E">
      <w:pPr>
        <w:ind w:firstLineChars="225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报价人</w:t>
      </w:r>
      <w:r w:rsidRPr="00A9332E">
        <w:rPr>
          <w:rFonts w:ascii="宋体" w:hAnsi="宋体" w:cs="宋体" w:hint="eastAsia"/>
          <w:sz w:val="24"/>
          <w:szCs w:val="24"/>
        </w:rPr>
        <w:t>需要对产品质量保证及售后服务做出以下承诺：</w:t>
      </w:r>
    </w:p>
    <w:p w:rsidR="00D65A19" w:rsidRPr="00A9332E" w:rsidRDefault="00D65A19" w:rsidP="00A9332E">
      <w:pPr>
        <w:ind w:firstLineChars="168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b/>
          <w:bCs/>
          <w:sz w:val="24"/>
          <w:szCs w:val="24"/>
        </w:rPr>
        <w:t>（</w:t>
      </w:r>
      <w:r w:rsidRPr="00A9332E">
        <w:rPr>
          <w:rFonts w:ascii="宋体" w:hAnsi="宋体" w:cs="宋体"/>
          <w:b/>
          <w:bCs/>
          <w:sz w:val="24"/>
          <w:szCs w:val="24"/>
        </w:rPr>
        <w:t>1</w:t>
      </w:r>
      <w:r w:rsidRPr="00A9332E">
        <w:rPr>
          <w:rFonts w:ascii="宋体" w:hAnsi="宋体" w:cs="宋体" w:hint="eastAsia"/>
          <w:b/>
          <w:bCs/>
          <w:sz w:val="24"/>
          <w:szCs w:val="24"/>
        </w:rPr>
        <w:t>）质量保证承诺</w:t>
      </w:r>
    </w:p>
    <w:p w:rsidR="00D65A19" w:rsidRPr="00A9332E" w:rsidRDefault="00D65A19" w:rsidP="00A9332E">
      <w:pPr>
        <w:ind w:firstLineChars="225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保证所投货物为原装设备、符合相关质量标准、无产权纠纷。</w:t>
      </w:r>
    </w:p>
    <w:p w:rsidR="00D65A19" w:rsidRPr="00A9332E" w:rsidRDefault="00D65A19" w:rsidP="00A9332E">
      <w:pPr>
        <w:ind w:firstLineChars="225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建立快速服务相应体系，提供快速全方位服务。</w:t>
      </w:r>
    </w:p>
    <w:p w:rsidR="00D65A19" w:rsidRPr="00A9332E" w:rsidRDefault="00D65A19" w:rsidP="00A9332E">
      <w:pPr>
        <w:ind w:firstLineChars="225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系统验收后，软件发生任何非人为故障，按合同要求由公司负责更新和安装。定期对系统进行测试、维护，消除系统的故障隐患。</w:t>
      </w:r>
    </w:p>
    <w:p w:rsidR="00D65A19" w:rsidRPr="00A9332E" w:rsidRDefault="00D65A19" w:rsidP="00A9332E">
      <w:pPr>
        <w:ind w:firstLineChars="225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保修期满后，公司应免费提供技术咨询服务，对软件系统提供终身维护。</w:t>
      </w:r>
    </w:p>
    <w:p w:rsidR="00D65A19" w:rsidRPr="00A9332E" w:rsidRDefault="00D65A19" w:rsidP="00A9332E">
      <w:pPr>
        <w:spacing w:before="100"/>
        <w:ind w:firstLineChars="225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提供售后服务电话。</w:t>
      </w:r>
    </w:p>
    <w:p w:rsidR="00D65A19" w:rsidRPr="00A9332E" w:rsidRDefault="00D65A19" w:rsidP="00A9332E">
      <w:pPr>
        <w:ind w:firstLineChars="168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b/>
          <w:bCs/>
          <w:sz w:val="24"/>
          <w:szCs w:val="24"/>
        </w:rPr>
        <w:t>（</w:t>
      </w:r>
      <w:r w:rsidRPr="00A9332E">
        <w:rPr>
          <w:rFonts w:ascii="宋体" w:hAnsi="宋体" w:cs="宋体"/>
          <w:b/>
          <w:bCs/>
          <w:sz w:val="24"/>
          <w:szCs w:val="24"/>
        </w:rPr>
        <w:t>2</w:t>
      </w:r>
      <w:r w:rsidRPr="00A9332E">
        <w:rPr>
          <w:rFonts w:ascii="宋体" w:hAnsi="宋体" w:cs="宋体" w:hint="eastAsia"/>
          <w:b/>
          <w:bCs/>
          <w:sz w:val="24"/>
          <w:szCs w:val="24"/>
        </w:rPr>
        <w:t>）售后服务承诺</w:t>
      </w:r>
    </w:p>
    <w:p w:rsidR="00D65A19" w:rsidRPr="00A9332E" w:rsidRDefault="00D65A19" w:rsidP="00A9332E">
      <w:pPr>
        <w:widowControl w:val="0"/>
        <w:numPr>
          <w:ilvl w:val="0"/>
          <w:numId w:val="3"/>
        </w:numPr>
        <w:ind w:left="0" w:firstLine="540"/>
        <w:jc w:val="both"/>
        <w:rPr>
          <w:rFonts w:ascii="宋体"/>
          <w:kern w:val="0"/>
          <w:sz w:val="24"/>
          <w:szCs w:val="24"/>
        </w:rPr>
      </w:pPr>
      <w:r w:rsidRPr="00A9332E">
        <w:rPr>
          <w:rFonts w:ascii="宋体" w:hAnsi="宋体" w:cs="宋体" w:hint="eastAsia"/>
          <w:kern w:val="0"/>
          <w:sz w:val="24"/>
          <w:szCs w:val="24"/>
        </w:rPr>
        <w:t>因原厂商产品故障（以下范围不属原厂商产品故障：服务器和网络硬件故障、操作系统、数据库系统故障；客户端机器故障）导致产品不能正常运行且远程协助无法解决的，原厂商承诺</w:t>
      </w:r>
      <w:r w:rsidRPr="00A9332E">
        <w:rPr>
          <w:rFonts w:ascii="宋体" w:hAnsi="宋体" w:cs="宋体"/>
          <w:kern w:val="0"/>
          <w:sz w:val="24"/>
          <w:szCs w:val="24"/>
        </w:rPr>
        <w:t>48</w:t>
      </w:r>
      <w:r w:rsidRPr="00A9332E">
        <w:rPr>
          <w:rFonts w:ascii="宋体" w:hAnsi="宋体" w:cs="宋体" w:hint="eastAsia"/>
          <w:kern w:val="0"/>
          <w:sz w:val="24"/>
          <w:szCs w:val="24"/>
        </w:rPr>
        <w:t>小时内免费上门维护服务。</w:t>
      </w:r>
    </w:p>
    <w:p w:rsidR="00D65A19" w:rsidRPr="00A9332E" w:rsidRDefault="00D65A19" w:rsidP="00A9332E">
      <w:pPr>
        <w:widowControl w:val="0"/>
        <w:numPr>
          <w:ilvl w:val="0"/>
          <w:numId w:val="3"/>
        </w:numPr>
        <w:ind w:left="0" w:firstLine="540"/>
        <w:jc w:val="both"/>
        <w:rPr>
          <w:rFonts w:ascii="宋体"/>
          <w:kern w:val="0"/>
          <w:sz w:val="24"/>
          <w:szCs w:val="24"/>
        </w:rPr>
      </w:pPr>
      <w:r w:rsidRPr="00A9332E">
        <w:rPr>
          <w:rFonts w:ascii="宋体" w:hAnsi="宋体" w:cs="宋体" w:hint="eastAsia"/>
          <w:kern w:val="0"/>
          <w:sz w:val="24"/>
          <w:szCs w:val="24"/>
        </w:rPr>
        <w:t>软件厂商提供质保期一年；且具有成熟完善的“</w:t>
      </w:r>
      <w:r w:rsidRPr="00A9332E">
        <w:rPr>
          <w:rFonts w:ascii="宋体" w:hAnsi="宋体" w:cs="宋体"/>
          <w:kern w:val="0"/>
          <w:sz w:val="24"/>
          <w:szCs w:val="24"/>
        </w:rPr>
        <w:t>5</w:t>
      </w:r>
      <w:r w:rsidRPr="00A9332E">
        <w:rPr>
          <w:rFonts w:ascii="宋体" w:hAnsi="宋体" w:cs="宋体" w:hint="eastAsia"/>
          <w:kern w:val="0"/>
          <w:sz w:val="24"/>
          <w:szCs w:val="24"/>
        </w:rPr>
        <w:t>×</w:t>
      </w:r>
      <w:r w:rsidRPr="00A9332E">
        <w:rPr>
          <w:rFonts w:ascii="宋体" w:hAnsi="宋体" w:cs="宋体"/>
          <w:kern w:val="0"/>
          <w:sz w:val="24"/>
          <w:szCs w:val="24"/>
        </w:rPr>
        <w:t>8</w:t>
      </w:r>
      <w:r w:rsidRPr="00A9332E">
        <w:rPr>
          <w:rFonts w:ascii="宋体" w:hAnsi="宋体" w:cs="宋体" w:hint="eastAsia"/>
          <w:kern w:val="0"/>
          <w:sz w:val="24"/>
          <w:szCs w:val="24"/>
        </w:rPr>
        <w:t>小时”的专业不间断的电话技术支持服务体系。</w:t>
      </w:r>
    </w:p>
    <w:p w:rsidR="00D65A19" w:rsidRPr="00A9332E" w:rsidRDefault="00D65A19" w:rsidP="00A9332E">
      <w:pPr>
        <w:widowControl w:val="0"/>
        <w:numPr>
          <w:ilvl w:val="0"/>
          <w:numId w:val="3"/>
        </w:numPr>
        <w:ind w:left="0" w:firstLine="540"/>
        <w:jc w:val="both"/>
        <w:rPr>
          <w:rFonts w:ascii="宋体"/>
          <w:kern w:val="0"/>
          <w:sz w:val="24"/>
          <w:szCs w:val="24"/>
        </w:rPr>
      </w:pPr>
      <w:r w:rsidRPr="00A9332E">
        <w:rPr>
          <w:rFonts w:ascii="宋体" w:hAnsi="宋体" w:cs="宋体" w:hint="eastAsia"/>
          <w:kern w:val="0"/>
          <w:sz w:val="24"/>
          <w:szCs w:val="24"/>
        </w:rPr>
        <w:t>原厂商通过公司外部网站提供该软件相应补丁程序下载。</w:t>
      </w:r>
    </w:p>
    <w:p w:rsidR="00D65A19" w:rsidRPr="00A9332E" w:rsidRDefault="00D65A19" w:rsidP="00A9332E">
      <w:pPr>
        <w:widowControl w:val="0"/>
        <w:numPr>
          <w:ilvl w:val="0"/>
          <w:numId w:val="3"/>
        </w:numPr>
        <w:ind w:left="0" w:firstLine="540"/>
        <w:jc w:val="both"/>
        <w:rPr>
          <w:rFonts w:ascii="宋体"/>
          <w:kern w:val="0"/>
          <w:sz w:val="24"/>
          <w:szCs w:val="24"/>
        </w:rPr>
      </w:pPr>
      <w:r w:rsidRPr="00A9332E">
        <w:rPr>
          <w:rFonts w:ascii="宋体" w:hAnsi="宋体" w:cs="宋体" w:hint="eastAsia"/>
          <w:kern w:val="0"/>
          <w:sz w:val="24"/>
          <w:szCs w:val="24"/>
        </w:rPr>
        <w:t>原厂商提供有关产品的咨询服务，通过公司外部网站、电话和</w:t>
      </w:r>
      <w:r w:rsidRPr="00A9332E">
        <w:rPr>
          <w:rFonts w:ascii="宋体" w:hAnsi="宋体" w:cs="宋体"/>
          <w:kern w:val="0"/>
          <w:sz w:val="24"/>
          <w:szCs w:val="24"/>
        </w:rPr>
        <w:t>Email</w:t>
      </w:r>
      <w:r w:rsidRPr="00A9332E">
        <w:rPr>
          <w:rFonts w:ascii="宋体" w:hAnsi="宋体" w:cs="宋体" w:hint="eastAsia"/>
          <w:kern w:val="0"/>
          <w:sz w:val="24"/>
          <w:szCs w:val="24"/>
        </w:rPr>
        <w:t>等方式提供该软件常见安装及使用问题解答；并有义务对使用方进行定期回访，处理疑难问题，提取用户意见和建议。</w:t>
      </w:r>
    </w:p>
    <w:p w:rsidR="00D65A19" w:rsidRPr="00A9332E" w:rsidRDefault="00D65A19" w:rsidP="00A9332E">
      <w:pPr>
        <w:numPr>
          <w:ilvl w:val="0"/>
          <w:numId w:val="13"/>
        </w:numPr>
        <w:tabs>
          <w:tab w:val="clear" w:pos="390"/>
          <w:tab w:val="num" w:pos="1080"/>
        </w:tabs>
        <w:ind w:left="0" w:firstLineChars="224" w:firstLine="31680"/>
        <w:rPr>
          <w:b/>
          <w:bCs/>
          <w:sz w:val="24"/>
          <w:szCs w:val="24"/>
        </w:rPr>
      </w:pPr>
      <w:r w:rsidRPr="00A9332E">
        <w:rPr>
          <w:rFonts w:cs="宋体" w:hint="eastAsia"/>
          <w:b/>
          <w:bCs/>
          <w:sz w:val="24"/>
          <w:szCs w:val="24"/>
        </w:rPr>
        <w:t>培训</w:t>
      </w:r>
    </w:p>
    <w:p w:rsidR="00D65A19" w:rsidRPr="00A9332E" w:rsidRDefault="00D65A19" w:rsidP="00A9332E">
      <w:pPr>
        <w:spacing w:before="100"/>
        <w:ind w:firstLineChars="225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负责对采购人相关教学和技术负责人员进行项目技术培训，培训目标是使采购人</w:t>
      </w:r>
      <w:r w:rsidRPr="00A9332E">
        <w:rPr>
          <w:rFonts w:ascii="宋体" w:hAnsi="宋体" w:cs="宋体" w:hint="eastAsia"/>
          <w:sz w:val="24"/>
          <w:szCs w:val="24"/>
        </w:rPr>
        <w:t>的教学以及技术人员能够完全掌握系统正常情况下的日常教学、运行维护和简单故障的排除等。并提供一年内免费专家咨询支持。</w:t>
      </w:r>
    </w:p>
    <w:p w:rsidR="00D65A19" w:rsidRPr="00A9332E" w:rsidRDefault="00D65A19" w:rsidP="00A9332E">
      <w:pPr>
        <w:numPr>
          <w:ilvl w:val="0"/>
          <w:numId w:val="13"/>
        </w:numPr>
        <w:tabs>
          <w:tab w:val="clear" w:pos="390"/>
          <w:tab w:val="num" w:pos="1080"/>
        </w:tabs>
        <w:ind w:left="0" w:firstLineChars="224" w:firstLine="31680"/>
        <w:rPr>
          <w:b/>
          <w:bCs/>
          <w:sz w:val="24"/>
          <w:szCs w:val="24"/>
        </w:rPr>
      </w:pPr>
      <w:r w:rsidRPr="00A9332E">
        <w:rPr>
          <w:rFonts w:cs="宋体" w:hint="eastAsia"/>
          <w:b/>
          <w:bCs/>
          <w:sz w:val="24"/>
          <w:szCs w:val="24"/>
        </w:rPr>
        <w:t>付款方式</w:t>
      </w:r>
    </w:p>
    <w:p w:rsidR="00D65A19" w:rsidRPr="00A9332E" w:rsidRDefault="00D65A19" w:rsidP="00A9332E">
      <w:pPr>
        <w:spacing w:before="100"/>
        <w:ind w:firstLineChars="225" w:firstLine="31680"/>
        <w:rPr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软件安装验收合格后一次性付款</w:t>
      </w:r>
    </w:p>
    <w:p w:rsidR="00D65A19" w:rsidRPr="00A9332E" w:rsidRDefault="00D65A19" w:rsidP="00A9332E">
      <w:pPr>
        <w:numPr>
          <w:ilvl w:val="0"/>
          <w:numId w:val="13"/>
        </w:numPr>
        <w:tabs>
          <w:tab w:val="clear" w:pos="390"/>
          <w:tab w:val="num" w:pos="1080"/>
        </w:tabs>
        <w:ind w:left="0" w:firstLineChars="224" w:firstLine="31680"/>
        <w:rPr>
          <w:b/>
          <w:bCs/>
          <w:sz w:val="24"/>
          <w:szCs w:val="24"/>
        </w:rPr>
      </w:pPr>
      <w:r w:rsidRPr="00A9332E">
        <w:rPr>
          <w:rFonts w:cs="宋体" w:hint="eastAsia"/>
          <w:b/>
          <w:bCs/>
          <w:sz w:val="24"/>
          <w:szCs w:val="24"/>
        </w:rPr>
        <w:t>配套资料</w:t>
      </w:r>
    </w:p>
    <w:p w:rsidR="00D65A19" w:rsidRPr="00A9332E" w:rsidRDefault="00D65A19" w:rsidP="00A9332E">
      <w:pPr>
        <w:spacing w:before="100"/>
        <w:ind w:firstLineChars="225" w:firstLine="31680"/>
        <w:rPr>
          <w:rFonts w:ascii="宋体"/>
          <w:sz w:val="24"/>
          <w:szCs w:val="24"/>
        </w:rPr>
      </w:pPr>
      <w:r w:rsidRPr="00A9332E">
        <w:rPr>
          <w:rFonts w:ascii="宋体" w:hAnsi="宋体" w:cs="宋体" w:hint="eastAsia"/>
          <w:sz w:val="24"/>
          <w:szCs w:val="24"/>
        </w:rPr>
        <w:t>软件安装和使用说明书</w:t>
      </w:r>
    </w:p>
    <w:p w:rsidR="00D65A19" w:rsidRPr="00A9332E" w:rsidRDefault="00D65A19">
      <w:pPr>
        <w:rPr>
          <w:sz w:val="24"/>
          <w:szCs w:val="24"/>
        </w:rPr>
      </w:pPr>
    </w:p>
    <w:sectPr w:rsidR="00D65A19" w:rsidRPr="00A9332E" w:rsidSect="00765EC5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A19" w:rsidRDefault="00D65A19" w:rsidP="00734A7C">
      <w:pPr>
        <w:spacing w:line="240" w:lineRule="auto"/>
      </w:pPr>
      <w:r>
        <w:separator/>
      </w:r>
    </w:p>
  </w:endnote>
  <w:endnote w:type="continuationSeparator" w:id="1">
    <w:p w:rsidR="00D65A19" w:rsidRDefault="00D65A19" w:rsidP="00734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A19" w:rsidRDefault="00D65A19" w:rsidP="00734A7C">
      <w:pPr>
        <w:spacing w:line="240" w:lineRule="auto"/>
      </w:pPr>
      <w:r>
        <w:separator/>
      </w:r>
    </w:p>
  </w:footnote>
  <w:footnote w:type="continuationSeparator" w:id="1">
    <w:p w:rsidR="00D65A19" w:rsidRDefault="00D65A19" w:rsidP="00734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D592B"/>
    <w:multiLevelType w:val="hybridMultilevel"/>
    <w:tmpl w:val="7E5870A0"/>
    <w:lvl w:ilvl="0" w:tplc="B8B0AA8E">
      <w:start w:val="1"/>
      <w:numFmt w:val="japaneseCounting"/>
      <w:lvlText w:val="%1．"/>
      <w:lvlJc w:val="left"/>
      <w:pPr>
        <w:ind w:left="912" w:hanging="91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6F5F83"/>
    <w:multiLevelType w:val="hybridMultilevel"/>
    <w:tmpl w:val="8B68843E"/>
    <w:lvl w:ilvl="0" w:tplc="F9EEAFE6">
      <w:start w:val="6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DD706F"/>
    <w:multiLevelType w:val="hybridMultilevel"/>
    <w:tmpl w:val="393ACDFC"/>
    <w:lvl w:ilvl="0" w:tplc="C358AC76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315265"/>
    <w:multiLevelType w:val="hybridMultilevel"/>
    <w:tmpl w:val="03BC98DA"/>
    <w:lvl w:ilvl="0" w:tplc="368AD474">
      <w:start w:val="3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853DF7"/>
    <w:multiLevelType w:val="hybridMultilevel"/>
    <w:tmpl w:val="240A0B48"/>
    <w:lvl w:ilvl="0" w:tplc="52B66250">
      <w:start w:val="7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C77737"/>
    <w:multiLevelType w:val="hybridMultilevel"/>
    <w:tmpl w:val="44ECA14C"/>
    <w:lvl w:ilvl="0" w:tplc="D0A030EC">
      <w:start w:val="2"/>
      <w:numFmt w:val="japaneseCounting"/>
      <w:lvlText w:val="%1、"/>
      <w:lvlJc w:val="left"/>
      <w:pPr>
        <w:ind w:left="912" w:hanging="91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426043"/>
    <w:multiLevelType w:val="hybridMultilevel"/>
    <w:tmpl w:val="B68A43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B3098A"/>
    <w:multiLevelType w:val="singleLevel"/>
    <w:tmpl w:val="5AB3098A"/>
    <w:lvl w:ilvl="0">
      <w:start w:val="1"/>
      <w:numFmt w:val="chineseCounting"/>
      <w:suff w:val="nothing"/>
      <w:lvlText w:val="%1．"/>
      <w:lvlJc w:val="left"/>
    </w:lvl>
  </w:abstractNum>
  <w:abstractNum w:abstractNumId="9">
    <w:nsid w:val="5AB30A8B"/>
    <w:multiLevelType w:val="singleLevel"/>
    <w:tmpl w:val="5AB30A8B"/>
    <w:lvl w:ilvl="0">
      <w:start w:val="2"/>
      <w:numFmt w:val="chineseCounting"/>
      <w:suff w:val="space"/>
      <w:lvlText w:val="%1."/>
      <w:lvlJc w:val="left"/>
    </w:lvl>
  </w:abstractNum>
  <w:abstractNum w:abstractNumId="10">
    <w:nsid w:val="606370C6"/>
    <w:multiLevelType w:val="hybridMultilevel"/>
    <w:tmpl w:val="B0B48086"/>
    <w:lvl w:ilvl="0" w:tplc="79D2094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E3116C"/>
    <w:multiLevelType w:val="hybridMultilevel"/>
    <w:tmpl w:val="7B40E8AA"/>
    <w:lvl w:ilvl="0" w:tplc="0BD68B1E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941A3"/>
    <w:multiLevelType w:val="hybridMultilevel"/>
    <w:tmpl w:val="7EBEB776"/>
    <w:lvl w:ilvl="0" w:tplc="84FE9E6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257"/>
    <w:rsid w:val="000042F4"/>
    <w:rsid w:val="00193945"/>
    <w:rsid w:val="001F4D0D"/>
    <w:rsid w:val="00266961"/>
    <w:rsid w:val="00296471"/>
    <w:rsid w:val="00327528"/>
    <w:rsid w:val="00362C76"/>
    <w:rsid w:val="003D4642"/>
    <w:rsid w:val="003E2481"/>
    <w:rsid w:val="003F7A49"/>
    <w:rsid w:val="00495924"/>
    <w:rsid w:val="00565E1B"/>
    <w:rsid w:val="005C1018"/>
    <w:rsid w:val="00612688"/>
    <w:rsid w:val="006273B1"/>
    <w:rsid w:val="00640744"/>
    <w:rsid w:val="006436DF"/>
    <w:rsid w:val="006971AE"/>
    <w:rsid w:val="006B5359"/>
    <w:rsid w:val="00734A7C"/>
    <w:rsid w:val="00765EC5"/>
    <w:rsid w:val="00834638"/>
    <w:rsid w:val="008E654B"/>
    <w:rsid w:val="008F7DEB"/>
    <w:rsid w:val="00987757"/>
    <w:rsid w:val="009E231A"/>
    <w:rsid w:val="00A9332E"/>
    <w:rsid w:val="00BC2692"/>
    <w:rsid w:val="00C62B95"/>
    <w:rsid w:val="00C64B6F"/>
    <w:rsid w:val="00D02221"/>
    <w:rsid w:val="00D65A19"/>
    <w:rsid w:val="00DC09D3"/>
    <w:rsid w:val="00EA30EA"/>
    <w:rsid w:val="00EB3D79"/>
    <w:rsid w:val="00F029B1"/>
    <w:rsid w:val="00F26257"/>
    <w:rsid w:val="00F31F36"/>
    <w:rsid w:val="00F36B24"/>
    <w:rsid w:val="00F8134D"/>
    <w:rsid w:val="00FE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0"/>
    <w:pPr>
      <w:spacing w:line="360" w:lineRule="auto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3D7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3D79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3E248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11">
    <w:name w:val="网格表 5 深色 - 着色 11"/>
    <w:uiPriority w:val="99"/>
    <w:rsid w:val="008F7DEB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765EC5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EC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65EC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73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4A7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4A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4A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116</Words>
  <Characters>665</Characters>
  <Application>Microsoft Office Outlook</Application>
  <DocSecurity>0</DocSecurity>
  <Lines>0</Lines>
  <Paragraphs>0</Paragraphs>
  <ScaleCrop>false</ScaleCrop>
  <Company>芳向电脑工作室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adimin</dc:creator>
  <cp:keywords/>
  <dc:description/>
  <cp:lastModifiedBy>张芳向 Netboy</cp:lastModifiedBy>
  <cp:revision>5</cp:revision>
  <dcterms:created xsi:type="dcterms:W3CDTF">2018-07-10T03:13:00Z</dcterms:created>
  <dcterms:modified xsi:type="dcterms:W3CDTF">2018-08-14T06:39:00Z</dcterms:modified>
</cp:coreProperties>
</file>